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3A41" w:rsidRDefault="00973A41" w14:paraId="672A6659" w14:textId="77777777">
      <w:pPr>
        <w:pBdr>
          <w:top w:val="nil"/>
          <w:left w:val="nil"/>
          <w:bottom w:val="nil"/>
          <w:right w:val="nil"/>
          <w:between w:val="nil"/>
        </w:pBdr>
        <w:spacing w:before="7"/>
        <w:rPr>
          <w:rFonts w:ascii="Times New Roman" w:hAnsi="Times New Roman" w:eastAsia="Times New Roman" w:cs="Times New Roman"/>
          <w:color w:val="000000"/>
          <w:sz w:val="12"/>
          <w:szCs w:val="12"/>
        </w:rPr>
      </w:pPr>
    </w:p>
    <w:p w:rsidR="00973A41" w:rsidRDefault="005073D5" w14:paraId="56D89780" w14:textId="77777777">
      <w:pPr>
        <w:pBdr>
          <w:top w:val="nil"/>
          <w:left w:val="nil"/>
          <w:bottom w:val="nil"/>
          <w:right w:val="nil"/>
          <w:between w:val="nil"/>
        </w:pBdr>
        <w:spacing w:before="52"/>
        <w:ind w:left="1918" w:right="1918"/>
        <w:jc w:val="center"/>
        <w:rPr>
          <w:b/>
          <w:bCs/>
          <w:color w:val="000000"/>
          <w:sz w:val="24"/>
          <w:szCs w:val="24"/>
        </w:rPr>
      </w:pPr>
      <w:r>
        <w:rPr>
          <w:b/>
          <w:bCs/>
          <w:color w:val="000000"/>
          <w:sz w:val="24"/>
          <w:szCs w:val="24"/>
        </w:rPr>
        <w:t>FORMATO INFORME OBLIGACIONES CONTRACTUALES</w:t>
      </w:r>
    </w:p>
    <w:p w:rsidR="00973A41" w:rsidRDefault="00973A41" w14:paraId="0A37501D" w14:textId="77777777">
      <w:pPr>
        <w:pBdr>
          <w:top w:val="nil"/>
          <w:left w:val="nil"/>
          <w:bottom w:val="nil"/>
          <w:right w:val="nil"/>
          <w:between w:val="nil"/>
        </w:pBdr>
        <w:rPr>
          <w:color w:val="000000"/>
          <w:sz w:val="20"/>
          <w:szCs w:val="20"/>
        </w:rPr>
      </w:pPr>
    </w:p>
    <w:p w:rsidR="00973A41" w:rsidRDefault="00973A41" w14:paraId="5DAB6C7B" w14:textId="77777777">
      <w:pPr>
        <w:pBdr>
          <w:top w:val="nil"/>
          <w:left w:val="nil"/>
          <w:bottom w:val="nil"/>
          <w:right w:val="nil"/>
          <w:between w:val="nil"/>
        </w:pBdr>
        <w:spacing w:before="2"/>
        <w:rPr>
          <w:color w:val="000000"/>
          <w:sz w:val="28"/>
          <w:szCs w:val="28"/>
        </w:rPr>
      </w:pPr>
    </w:p>
    <w:tbl>
      <w:tblPr>
        <w:tblStyle w:val="a0"/>
        <w:tblW w:w="8828" w:type="dxa"/>
        <w:tblInd w:w="15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4414"/>
        <w:gridCol w:w="4414"/>
      </w:tblGrid>
      <w:tr w:rsidR="00973A41" w14:paraId="3B013296" w14:textId="77777777">
        <w:trPr>
          <w:trHeight w:val="292"/>
        </w:trPr>
        <w:tc>
          <w:tcPr>
            <w:tcW w:w="4414" w:type="dxa"/>
          </w:tcPr>
          <w:p w:rsidR="00973A41" w:rsidRDefault="005073D5" w14:paraId="1E462B3A" w14:textId="77777777">
            <w:pPr>
              <w:pBdr>
                <w:top w:val="nil"/>
                <w:left w:val="nil"/>
                <w:bottom w:val="nil"/>
                <w:right w:val="nil"/>
                <w:between w:val="nil"/>
              </w:pBdr>
              <w:spacing w:line="272" w:lineRule="auto"/>
              <w:ind w:left="107"/>
              <w:rPr>
                <w:color w:val="000000"/>
                <w:sz w:val="24"/>
                <w:szCs w:val="24"/>
              </w:rPr>
            </w:pPr>
            <w:r>
              <w:rPr>
                <w:color w:val="000000"/>
                <w:sz w:val="24"/>
                <w:szCs w:val="24"/>
              </w:rPr>
              <w:t>Nombre del Contratista:</w:t>
            </w:r>
          </w:p>
        </w:tc>
        <w:tc>
          <w:tcPr>
            <w:tcW w:w="4414" w:type="dxa"/>
          </w:tcPr>
          <w:p w:rsidR="00973A41" w:rsidRDefault="005073D5" w14:paraId="7FFFEB3E" w14:textId="77777777">
            <w:pPr>
              <w:pBdr>
                <w:top w:val="nil"/>
                <w:left w:val="nil"/>
                <w:bottom w:val="nil"/>
                <w:right w:val="nil"/>
                <w:between w:val="nil"/>
              </w:pBdr>
              <w:spacing w:line="272" w:lineRule="auto"/>
              <w:ind w:left="107"/>
              <w:rPr>
                <w:sz w:val="24"/>
                <w:szCs w:val="24"/>
              </w:rPr>
            </w:pPr>
            <w:r>
              <w:rPr>
                <w:sz w:val="24"/>
                <w:szCs w:val="24"/>
              </w:rPr>
              <w:t>CESAR AUGUSTO PIEDRAHITA AMPUDIA</w:t>
            </w:r>
          </w:p>
        </w:tc>
      </w:tr>
      <w:tr w:rsidR="00973A41" w14:paraId="29A105AE" w14:textId="77777777">
        <w:trPr>
          <w:trHeight w:val="292"/>
        </w:trPr>
        <w:tc>
          <w:tcPr>
            <w:tcW w:w="4414" w:type="dxa"/>
          </w:tcPr>
          <w:p w:rsidR="00973A41" w:rsidRDefault="005073D5" w14:paraId="43F8A6E1" w14:textId="77777777">
            <w:pPr>
              <w:pBdr>
                <w:top w:val="nil"/>
                <w:left w:val="nil"/>
                <w:bottom w:val="nil"/>
                <w:right w:val="nil"/>
                <w:between w:val="nil"/>
              </w:pBdr>
              <w:spacing w:line="272" w:lineRule="auto"/>
              <w:ind w:left="107"/>
              <w:rPr>
                <w:color w:val="000000"/>
                <w:sz w:val="24"/>
                <w:szCs w:val="24"/>
              </w:rPr>
            </w:pPr>
            <w:r>
              <w:rPr>
                <w:color w:val="000000"/>
                <w:sz w:val="24"/>
                <w:szCs w:val="24"/>
              </w:rPr>
              <w:t>Documento de Identidad</w:t>
            </w:r>
          </w:p>
        </w:tc>
        <w:tc>
          <w:tcPr>
            <w:tcW w:w="4414" w:type="dxa"/>
          </w:tcPr>
          <w:p w:rsidR="00973A41" w:rsidRDefault="005073D5" w14:paraId="44C49DAC" w14:textId="77777777">
            <w:pPr>
              <w:pBdr>
                <w:top w:val="nil"/>
                <w:left w:val="nil"/>
                <w:bottom w:val="nil"/>
                <w:right w:val="nil"/>
                <w:between w:val="nil"/>
              </w:pBdr>
              <w:spacing w:line="272" w:lineRule="auto"/>
              <w:ind w:left="107"/>
              <w:rPr>
                <w:color w:val="000000"/>
                <w:sz w:val="24"/>
                <w:szCs w:val="24"/>
              </w:rPr>
            </w:pPr>
            <w:r>
              <w:rPr>
                <w:color w:val="000000"/>
                <w:sz w:val="24"/>
                <w:szCs w:val="24"/>
              </w:rPr>
              <w:t>No.</w:t>
            </w:r>
            <w:r>
              <w:rPr>
                <w:sz w:val="24"/>
                <w:szCs w:val="24"/>
              </w:rPr>
              <w:t>14.624.306</w:t>
            </w:r>
          </w:p>
        </w:tc>
      </w:tr>
      <w:tr w:rsidR="00973A41" w14:paraId="7F92D20C" w14:textId="77777777">
        <w:trPr>
          <w:trHeight w:val="292"/>
        </w:trPr>
        <w:tc>
          <w:tcPr>
            <w:tcW w:w="4414" w:type="dxa"/>
          </w:tcPr>
          <w:p w:rsidR="00973A41" w:rsidRDefault="005073D5" w14:paraId="43FCBA1E" w14:textId="77777777">
            <w:pPr>
              <w:pBdr>
                <w:top w:val="nil"/>
                <w:left w:val="nil"/>
                <w:bottom w:val="nil"/>
                <w:right w:val="nil"/>
                <w:between w:val="nil"/>
              </w:pBdr>
              <w:spacing w:line="272" w:lineRule="auto"/>
              <w:ind w:left="107"/>
              <w:rPr>
                <w:color w:val="000000"/>
                <w:sz w:val="24"/>
                <w:szCs w:val="24"/>
              </w:rPr>
            </w:pPr>
            <w:r>
              <w:rPr>
                <w:color w:val="000000"/>
                <w:sz w:val="24"/>
                <w:szCs w:val="24"/>
              </w:rPr>
              <w:t>Número del Contrato</w:t>
            </w:r>
          </w:p>
        </w:tc>
        <w:tc>
          <w:tcPr>
            <w:tcW w:w="4414" w:type="dxa"/>
          </w:tcPr>
          <w:p w:rsidR="00973A41" w:rsidRDefault="005073D5" w14:paraId="7437DB64" w14:textId="77777777">
            <w:pPr>
              <w:pBdr>
                <w:top w:val="nil"/>
                <w:left w:val="nil"/>
                <w:bottom w:val="nil"/>
                <w:right w:val="nil"/>
                <w:between w:val="nil"/>
              </w:pBdr>
              <w:spacing w:line="272" w:lineRule="auto"/>
              <w:ind w:left="107"/>
              <w:rPr>
                <w:color w:val="000000"/>
                <w:sz w:val="24"/>
                <w:szCs w:val="24"/>
              </w:rPr>
            </w:pPr>
            <w:r>
              <w:rPr>
                <w:color w:val="000000"/>
                <w:sz w:val="24"/>
                <w:szCs w:val="24"/>
              </w:rPr>
              <w:t xml:space="preserve">No. </w:t>
            </w:r>
            <w:r>
              <w:rPr>
                <w:sz w:val="24"/>
                <w:szCs w:val="24"/>
              </w:rPr>
              <w:t>CO1.PCCNTR.9136386</w:t>
            </w:r>
            <w:r>
              <w:rPr>
                <w:sz w:val="24"/>
                <w:szCs w:val="24"/>
                <w:highlight w:val="white"/>
              </w:rPr>
              <w:t xml:space="preserve"> </w:t>
            </w:r>
            <w:r>
              <w:rPr>
                <w:color w:val="000000"/>
                <w:sz w:val="24"/>
                <w:szCs w:val="24"/>
              </w:rPr>
              <w:t>DE 2026</w:t>
            </w:r>
          </w:p>
        </w:tc>
      </w:tr>
      <w:tr w:rsidR="00973A41" w14:paraId="1A8961F9" w14:textId="77777777">
        <w:trPr>
          <w:trHeight w:val="2052"/>
        </w:trPr>
        <w:tc>
          <w:tcPr>
            <w:tcW w:w="4414" w:type="dxa"/>
          </w:tcPr>
          <w:p w:rsidR="00973A41" w:rsidRDefault="005073D5" w14:paraId="68DBCB66" w14:textId="77777777">
            <w:pPr>
              <w:pBdr>
                <w:top w:val="nil"/>
                <w:left w:val="nil"/>
                <w:bottom w:val="nil"/>
                <w:right w:val="nil"/>
                <w:between w:val="nil"/>
              </w:pBdr>
              <w:spacing w:before="1"/>
              <w:ind w:left="107"/>
              <w:rPr>
                <w:color w:val="000000"/>
                <w:sz w:val="24"/>
                <w:szCs w:val="24"/>
              </w:rPr>
            </w:pPr>
            <w:r>
              <w:rPr>
                <w:color w:val="000000"/>
                <w:sz w:val="24"/>
                <w:szCs w:val="24"/>
              </w:rPr>
              <w:t>Objeto Contractual</w:t>
            </w:r>
          </w:p>
        </w:tc>
        <w:tc>
          <w:tcPr>
            <w:tcW w:w="4414" w:type="dxa"/>
          </w:tcPr>
          <w:p w:rsidR="00973A41" w:rsidRDefault="005073D5" w14:paraId="2BED56D3" w14:textId="77777777">
            <w:pPr>
              <w:pBdr>
                <w:top w:val="nil"/>
                <w:left w:val="nil"/>
                <w:bottom w:val="nil"/>
                <w:right w:val="nil"/>
                <w:between w:val="nil"/>
              </w:pBdr>
              <w:spacing w:before="1"/>
              <w:ind w:left="107" w:right="61"/>
              <w:rPr>
                <w:sz w:val="24"/>
                <w:szCs w:val="24"/>
              </w:rPr>
            </w:pPr>
            <w:r>
              <w:rPr>
                <w:color w:val="434343"/>
                <w:sz w:val="24"/>
                <w:szCs w:val="24"/>
              </w:rPr>
              <w:t>Prestar servicios profesionales especializados para la ejecución técnica, el apoyo administrativo, la gestión documental y el seguimiento de las actividades y entregables del Proyecto Hábitat Rural Sostenible y Productivo, durante la vigencia 2026, conforme al plan de trabajo, cronograma y lineamientos institucionales aplicables.</w:t>
            </w:r>
          </w:p>
        </w:tc>
      </w:tr>
      <w:tr w:rsidR="00973A41" w14:paraId="2AF280DC" w14:textId="77777777">
        <w:trPr>
          <w:trHeight w:val="292"/>
        </w:trPr>
        <w:tc>
          <w:tcPr>
            <w:tcW w:w="4414" w:type="dxa"/>
          </w:tcPr>
          <w:p w:rsidR="00973A41" w:rsidRDefault="005073D5" w14:paraId="3A91D463" w14:textId="77777777">
            <w:pPr>
              <w:pBdr>
                <w:top w:val="nil"/>
                <w:left w:val="nil"/>
                <w:bottom w:val="nil"/>
                <w:right w:val="nil"/>
                <w:between w:val="nil"/>
              </w:pBdr>
              <w:spacing w:line="272" w:lineRule="auto"/>
              <w:ind w:left="107"/>
              <w:rPr>
                <w:color w:val="000000"/>
                <w:sz w:val="24"/>
                <w:szCs w:val="24"/>
              </w:rPr>
            </w:pPr>
            <w:r>
              <w:rPr>
                <w:color w:val="000000"/>
                <w:sz w:val="24"/>
                <w:szCs w:val="24"/>
              </w:rPr>
              <w:t>Área</w:t>
            </w:r>
          </w:p>
        </w:tc>
        <w:tc>
          <w:tcPr>
            <w:tcW w:w="4414" w:type="dxa"/>
          </w:tcPr>
          <w:p w:rsidR="00973A41" w:rsidRDefault="005073D5" w14:paraId="3D024D58" w14:textId="77777777">
            <w:pPr>
              <w:pBdr>
                <w:top w:val="nil"/>
                <w:left w:val="nil"/>
                <w:bottom w:val="nil"/>
                <w:right w:val="nil"/>
                <w:between w:val="nil"/>
              </w:pBdr>
              <w:spacing w:line="272" w:lineRule="auto"/>
              <w:ind w:left="107"/>
              <w:rPr>
                <w:color w:val="000000"/>
                <w:sz w:val="24"/>
                <w:szCs w:val="24"/>
              </w:rPr>
            </w:pPr>
            <w:r>
              <w:rPr>
                <w:color w:val="000000"/>
                <w:sz w:val="24"/>
                <w:szCs w:val="24"/>
              </w:rPr>
              <w:t xml:space="preserve">Innovación y Competitividad </w:t>
            </w:r>
          </w:p>
        </w:tc>
      </w:tr>
      <w:tr w:rsidR="00973A41" w14:paraId="2E000AEB" w14:textId="77777777">
        <w:trPr>
          <w:trHeight w:val="292"/>
        </w:trPr>
        <w:tc>
          <w:tcPr>
            <w:tcW w:w="4414" w:type="dxa"/>
          </w:tcPr>
          <w:p w:rsidR="00973A41" w:rsidRDefault="005073D5" w14:paraId="0F98DAEF" w14:textId="77777777">
            <w:pPr>
              <w:pBdr>
                <w:top w:val="nil"/>
                <w:left w:val="nil"/>
                <w:bottom w:val="nil"/>
                <w:right w:val="nil"/>
                <w:between w:val="nil"/>
              </w:pBdr>
              <w:spacing w:line="272" w:lineRule="auto"/>
              <w:ind w:left="107"/>
              <w:rPr>
                <w:color w:val="000000"/>
                <w:sz w:val="24"/>
                <w:szCs w:val="24"/>
              </w:rPr>
            </w:pPr>
            <w:r>
              <w:rPr>
                <w:color w:val="000000"/>
                <w:sz w:val="24"/>
                <w:szCs w:val="24"/>
              </w:rPr>
              <w:t>Periodo de la Evidencia</w:t>
            </w:r>
          </w:p>
        </w:tc>
        <w:tc>
          <w:tcPr>
            <w:tcW w:w="4414" w:type="dxa"/>
          </w:tcPr>
          <w:p w:rsidR="00973A41" w:rsidRDefault="00942CD6" w14:paraId="085F0245" w14:textId="2A6DCDA2">
            <w:pPr>
              <w:pBdr>
                <w:top w:val="nil"/>
                <w:left w:val="nil"/>
                <w:bottom w:val="nil"/>
                <w:right w:val="nil"/>
                <w:between w:val="nil"/>
              </w:pBdr>
              <w:spacing w:line="272" w:lineRule="auto"/>
              <w:ind w:left="107"/>
              <w:rPr>
                <w:color w:val="000000"/>
                <w:sz w:val="24"/>
                <w:szCs w:val="24"/>
              </w:rPr>
            </w:pPr>
            <w:r>
              <w:rPr>
                <w:color w:val="000000"/>
                <w:sz w:val="24"/>
                <w:szCs w:val="24"/>
              </w:rPr>
              <w:t>Junio</w:t>
            </w:r>
            <w:r w:rsidR="005073D5">
              <w:rPr>
                <w:color w:val="000000"/>
                <w:sz w:val="24"/>
                <w:szCs w:val="24"/>
              </w:rPr>
              <w:t xml:space="preserve"> 2026</w:t>
            </w:r>
          </w:p>
        </w:tc>
      </w:tr>
      <w:tr w:rsidR="00973A41" w14:paraId="5F22EC8C" w14:textId="77777777">
        <w:trPr>
          <w:trHeight w:val="294"/>
        </w:trPr>
        <w:tc>
          <w:tcPr>
            <w:tcW w:w="4414" w:type="dxa"/>
          </w:tcPr>
          <w:p w:rsidR="00973A41" w:rsidRDefault="005073D5" w14:paraId="646D9E38" w14:textId="77777777">
            <w:pPr>
              <w:pBdr>
                <w:top w:val="nil"/>
                <w:left w:val="nil"/>
                <w:bottom w:val="nil"/>
                <w:right w:val="nil"/>
                <w:between w:val="nil"/>
              </w:pBdr>
              <w:spacing w:before="1" w:line="273" w:lineRule="auto"/>
              <w:ind w:left="107"/>
              <w:rPr>
                <w:color w:val="000000"/>
                <w:sz w:val="24"/>
                <w:szCs w:val="24"/>
              </w:rPr>
            </w:pPr>
            <w:r>
              <w:rPr>
                <w:color w:val="000000"/>
                <w:sz w:val="24"/>
                <w:szCs w:val="24"/>
              </w:rPr>
              <w:t>Líder de Área</w:t>
            </w:r>
          </w:p>
        </w:tc>
        <w:tc>
          <w:tcPr>
            <w:tcW w:w="4414" w:type="dxa"/>
          </w:tcPr>
          <w:p w:rsidR="00973A41" w:rsidRDefault="005073D5" w14:paraId="6C52BBCF" w14:textId="77777777">
            <w:pPr>
              <w:pBdr>
                <w:top w:val="nil"/>
                <w:left w:val="nil"/>
                <w:bottom w:val="nil"/>
                <w:right w:val="nil"/>
                <w:between w:val="nil"/>
              </w:pBdr>
              <w:spacing w:before="1" w:line="273" w:lineRule="auto"/>
              <w:ind w:left="107"/>
              <w:rPr>
                <w:color w:val="000000"/>
                <w:sz w:val="24"/>
                <w:szCs w:val="24"/>
              </w:rPr>
            </w:pPr>
            <w:r>
              <w:rPr>
                <w:color w:val="000000"/>
                <w:sz w:val="24"/>
                <w:szCs w:val="24"/>
              </w:rPr>
              <w:t xml:space="preserve">Luis Fernando </w:t>
            </w:r>
            <w:r w:rsidR="00756ECE">
              <w:rPr>
                <w:color w:val="000000"/>
                <w:sz w:val="24"/>
                <w:szCs w:val="24"/>
              </w:rPr>
              <w:t>Rodríguez</w:t>
            </w:r>
            <w:r>
              <w:rPr>
                <w:color w:val="000000"/>
                <w:sz w:val="24"/>
                <w:szCs w:val="24"/>
              </w:rPr>
              <w:t xml:space="preserve"> Lozano</w:t>
            </w:r>
          </w:p>
        </w:tc>
      </w:tr>
      <w:tr w:rsidR="00973A41" w14:paraId="1B466DB0" w14:textId="77777777">
        <w:trPr>
          <w:trHeight w:val="292"/>
        </w:trPr>
        <w:tc>
          <w:tcPr>
            <w:tcW w:w="4414" w:type="dxa"/>
          </w:tcPr>
          <w:p w:rsidR="00973A41" w:rsidRDefault="005073D5" w14:paraId="53FF542F" w14:textId="77777777">
            <w:pPr>
              <w:pBdr>
                <w:top w:val="nil"/>
                <w:left w:val="nil"/>
                <w:bottom w:val="nil"/>
                <w:right w:val="nil"/>
                <w:between w:val="nil"/>
              </w:pBdr>
              <w:spacing w:line="272" w:lineRule="auto"/>
              <w:ind w:left="107"/>
              <w:rPr>
                <w:color w:val="000000"/>
                <w:sz w:val="24"/>
                <w:szCs w:val="24"/>
              </w:rPr>
            </w:pPr>
            <w:r>
              <w:rPr>
                <w:color w:val="000000"/>
                <w:sz w:val="24"/>
                <w:szCs w:val="24"/>
              </w:rPr>
              <w:t>Supervisor de contrato</w:t>
            </w:r>
          </w:p>
        </w:tc>
        <w:tc>
          <w:tcPr>
            <w:tcW w:w="4414" w:type="dxa"/>
          </w:tcPr>
          <w:p w:rsidR="00973A41" w:rsidRDefault="00692FDD" w14:paraId="035EC863" w14:textId="77777777">
            <w:pPr>
              <w:pBdr>
                <w:top w:val="nil"/>
                <w:left w:val="nil"/>
                <w:bottom w:val="nil"/>
                <w:right w:val="nil"/>
                <w:between w:val="nil"/>
              </w:pBdr>
              <w:spacing w:before="1" w:line="273" w:lineRule="auto"/>
              <w:rPr>
                <w:color w:val="000000"/>
                <w:sz w:val="24"/>
                <w:szCs w:val="24"/>
              </w:rPr>
            </w:pPr>
            <w:r>
              <w:rPr>
                <w:sz w:val="24"/>
                <w:szCs w:val="24"/>
              </w:rPr>
              <w:t xml:space="preserve"> Luis Fernando </w:t>
            </w:r>
            <w:r w:rsidR="00756ECE">
              <w:rPr>
                <w:sz w:val="24"/>
                <w:szCs w:val="24"/>
              </w:rPr>
              <w:t>Rodríguez</w:t>
            </w:r>
            <w:r>
              <w:rPr>
                <w:sz w:val="24"/>
                <w:szCs w:val="24"/>
              </w:rPr>
              <w:t xml:space="preserve"> Lozano</w:t>
            </w:r>
          </w:p>
        </w:tc>
      </w:tr>
      <w:tr w:rsidR="00973A41" w14:paraId="25AA2380" w14:textId="77777777">
        <w:trPr>
          <w:trHeight w:val="878"/>
        </w:trPr>
        <w:tc>
          <w:tcPr>
            <w:tcW w:w="4414" w:type="dxa"/>
          </w:tcPr>
          <w:p w:rsidR="00973A41" w:rsidRDefault="005073D5" w14:paraId="4D905FD1" w14:textId="77777777">
            <w:pPr>
              <w:pBdr>
                <w:top w:val="nil"/>
                <w:left w:val="nil"/>
                <w:bottom w:val="nil"/>
                <w:right w:val="nil"/>
                <w:between w:val="nil"/>
              </w:pBdr>
              <w:ind w:left="107"/>
              <w:rPr>
                <w:color w:val="000000"/>
                <w:sz w:val="24"/>
                <w:szCs w:val="24"/>
              </w:rPr>
            </w:pPr>
            <w:r>
              <w:rPr>
                <w:color w:val="000000"/>
                <w:sz w:val="24"/>
                <w:szCs w:val="24"/>
              </w:rPr>
              <w:t>Obligación Contractual que soporta el presente informe</w:t>
            </w:r>
          </w:p>
        </w:tc>
        <w:tc>
          <w:tcPr>
            <w:tcW w:w="4414" w:type="dxa"/>
          </w:tcPr>
          <w:p w:rsidR="00973A41" w:rsidP="006E6635" w:rsidRDefault="006E6635" w14:paraId="7F7E85CD" w14:textId="4C9D2463">
            <w:pPr>
              <w:pBdr>
                <w:top w:val="nil"/>
                <w:left w:val="nil"/>
                <w:bottom w:val="nil"/>
                <w:right w:val="nil"/>
                <w:between w:val="nil"/>
              </w:pBdr>
              <w:rPr>
                <w:sz w:val="24"/>
                <w:szCs w:val="24"/>
                <w:highlight w:val="yellow"/>
              </w:rPr>
            </w:pPr>
            <w:r>
              <w:t>Brindar asesoría técnica y financiera para el fortalecimiento de las unidades productivas asociadas al hábitat (agrícolas, pecuarias o de transformación), elaborando planes de negocio, estructuras de costos y estrategias de comercialización que incrementen los ingresos de las familias beneficiarias.</w:t>
            </w:r>
          </w:p>
        </w:tc>
      </w:tr>
    </w:tbl>
    <w:p w:rsidR="00973A41" w:rsidRDefault="00973A41" w14:paraId="02EB378F" w14:textId="77777777">
      <w:pPr>
        <w:pBdr>
          <w:top w:val="nil"/>
          <w:left w:val="nil"/>
          <w:bottom w:val="nil"/>
          <w:right w:val="nil"/>
          <w:between w:val="nil"/>
        </w:pBdr>
        <w:spacing w:before="2"/>
        <w:rPr>
          <w:color w:val="000000"/>
          <w:sz w:val="24"/>
          <w:szCs w:val="24"/>
        </w:rPr>
      </w:pPr>
    </w:p>
    <w:p w:rsidR="00973A41" w:rsidRDefault="00973A41" w14:paraId="6A05A809" w14:textId="77777777">
      <w:pPr>
        <w:pBdr>
          <w:top w:val="nil"/>
          <w:left w:val="nil"/>
          <w:bottom w:val="nil"/>
          <w:right w:val="nil"/>
          <w:between w:val="nil"/>
        </w:pBdr>
        <w:spacing w:before="51"/>
        <w:ind w:left="142"/>
        <w:rPr>
          <w:b/>
          <w:bCs/>
          <w:color w:val="000000"/>
          <w:sz w:val="24"/>
          <w:szCs w:val="24"/>
        </w:rPr>
      </w:pPr>
    </w:p>
    <w:p w:rsidR="00973A41" w:rsidRDefault="00973A41" w14:paraId="5A39BBE3" w14:textId="77777777">
      <w:pPr>
        <w:pBdr>
          <w:top w:val="nil"/>
          <w:left w:val="nil"/>
          <w:bottom w:val="nil"/>
          <w:right w:val="nil"/>
          <w:between w:val="nil"/>
        </w:pBdr>
        <w:spacing w:before="51"/>
        <w:ind w:left="142"/>
        <w:rPr>
          <w:b/>
          <w:bCs/>
          <w:color w:val="000000"/>
          <w:sz w:val="24"/>
          <w:szCs w:val="24"/>
        </w:rPr>
      </w:pPr>
    </w:p>
    <w:p w:rsidR="00973A41" w:rsidRDefault="00973A41" w14:paraId="41C8F396" w14:textId="77777777">
      <w:pPr>
        <w:pBdr>
          <w:top w:val="nil"/>
          <w:left w:val="nil"/>
          <w:bottom w:val="nil"/>
          <w:right w:val="nil"/>
          <w:between w:val="nil"/>
        </w:pBdr>
        <w:spacing w:before="51"/>
        <w:ind w:left="142"/>
        <w:rPr>
          <w:b/>
          <w:bCs/>
          <w:color w:val="000000"/>
          <w:sz w:val="24"/>
          <w:szCs w:val="24"/>
        </w:rPr>
      </w:pPr>
    </w:p>
    <w:p w:rsidR="00973A41" w:rsidRDefault="00973A41" w14:paraId="72A3D3EC" w14:textId="77777777">
      <w:pPr>
        <w:pBdr>
          <w:top w:val="nil"/>
          <w:left w:val="nil"/>
          <w:bottom w:val="nil"/>
          <w:right w:val="nil"/>
          <w:between w:val="nil"/>
        </w:pBdr>
        <w:spacing w:before="51"/>
        <w:ind w:left="142"/>
        <w:rPr>
          <w:b/>
          <w:bCs/>
          <w:color w:val="000000"/>
          <w:sz w:val="24"/>
          <w:szCs w:val="24"/>
        </w:rPr>
      </w:pPr>
    </w:p>
    <w:p w:rsidR="00973A41" w:rsidRDefault="00973A41" w14:paraId="0D0B940D" w14:textId="77777777">
      <w:pPr>
        <w:pBdr>
          <w:top w:val="nil"/>
          <w:left w:val="nil"/>
          <w:bottom w:val="nil"/>
          <w:right w:val="nil"/>
          <w:between w:val="nil"/>
        </w:pBdr>
        <w:spacing w:before="51"/>
        <w:ind w:left="142"/>
        <w:rPr>
          <w:b/>
          <w:bCs/>
          <w:color w:val="000000"/>
          <w:sz w:val="24"/>
          <w:szCs w:val="24"/>
        </w:rPr>
      </w:pPr>
    </w:p>
    <w:p w:rsidR="00973A41" w:rsidRDefault="00973A41" w14:paraId="0E27B00A" w14:textId="77777777">
      <w:pPr>
        <w:pBdr>
          <w:top w:val="nil"/>
          <w:left w:val="nil"/>
          <w:bottom w:val="nil"/>
          <w:right w:val="nil"/>
          <w:between w:val="nil"/>
        </w:pBdr>
        <w:spacing w:before="51"/>
        <w:ind w:left="142"/>
        <w:rPr>
          <w:b/>
          <w:bCs/>
          <w:color w:val="000000"/>
          <w:sz w:val="24"/>
          <w:szCs w:val="24"/>
        </w:rPr>
      </w:pPr>
    </w:p>
    <w:p w:rsidR="00973A41" w:rsidRDefault="00973A41" w14:paraId="60061E4C" w14:textId="77777777">
      <w:pPr>
        <w:pBdr>
          <w:top w:val="nil"/>
          <w:left w:val="nil"/>
          <w:bottom w:val="nil"/>
          <w:right w:val="nil"/>
          <w:between w:val="nil"/>
        </w:pBdr>
        <w:spacing w:before="51"/>
        <w:ind w:left="142"/>
        <w:rPr>
          <w:b/>
          <w:bCs/>
          <w:color w:val="000000"/>
          <w:sz w:val="24"/>
          <w:szCs w:val="24"/>
        </w:rPr>
      </w:pPr>
    </w:p>
    <w:p w:rsidR="00973A41" w:rsidRDefault="00973A41" w14:paraId="44EAFD9C" w14:textId="77777777">
      <w:pPr>
        <w:pBdr>
          <w:top w:val="nil"/>
          <w:left w:val="nil"/>
          <w:bottom w:val="nil"/>
          <w:right w:val="nil"/>
          <w:between w:val="nil"/>
        </w:pBdr>
        <w:spacing w:before="51"/>
        <w:ind w:left="142"/>
        <w:rPr>
          <w:b/>
          <w:bCs/>
          <w:color w:val="000000"/>
          <w:sz w:val="24"/>
          <w:szCs w:val="24"/>
        </w:rPr>
      </w:pPr>
    </w:p>
    <w:p w:rsidR="00973A41" w:rsidRDefault="00973A41" w14:paraId="4B94D5A5" w14:textId="77777777">
      <w:pPr>
        <w:pBdr>
          <w:top w:val="nil"/>
          <w:left w:val="nil"/>
          <w:bottom w:val="nil"/>
          <w:right w:val="nil"/>
          <w:between w:val="nil"/>
        </w:pBdr>
        <w:spacing w:before="51"/>
        <w:ind w:left="142"/>
        <w:rPr>
          <w:b/>
          <w:bCs/>
          <w:color w:val="000000"/>
          <w:sz w:val="24"/>
          <w:szCs w:val="24"/>
        </w:rPr>
      </w:pPr>
    </w:p>
    <w:p w:rsidR="00973A41" w:rsidRDefault="00973A41" w14:paraId="3DEEC669" w14:textId="77777777">
      <w:pPr>
        <w:pBdr>
          <w:top w:val="nil"/>
          <w:left w:val="nil"/>
          <w:bottom w:val="nil"/>
          <w:right w:val="nil"/>
          <w:between w:val="nil"/>
        </w:pBdr>
        <w:spacing w:before="51"/>
        <w:ind w:left="142"/>
        <w:rPr>
          <w:b/>
          <w:bCs/>
          <w:color w:val="000000"/>
          <w:sz w:val="24"/>
          <w:szCs w:val="24"/>
        </w:rPr>
      </w:pPr>
    </w:p>
    <w:p w:rsidR="00973A41" w:rsidRDefault="00973A41" w14:paraId="3656B9AB" w14:textId="77777777">
      <w:pPr>
        <w:pBdr>
          <w:top w:val="nil"/>
          <w:left w:val="nil"/>
          <w:bottom w:val="nil"/>
          <w:right w:val="nil"/>
          <w:between w:val="nil"/>
        </w:pBdr>
        <w:spacing w:before="51"/>
        <w:ind w:left="142"/>
        <w:rPr>
          <w:b/>
          <w:bCs/>
          <w:color w:val="000000"/>
          <w:sz w:val="24"/>
          <w:szCs w:val="24"/>
        </w:rPr>
      </w:pPr>
    </w:p>
    <w:p w:rsidR="00973A41" w:rsidP="00247F5F" w:rsidRDefault="00973A41" w14:paraId="45FB0818" w14:textId="77777777">
      <w:pPr>
        <w:pBdr>
          <w:top w:val="nil"/>
          <w:left w:val="nil"/>
          <w:bottom w:val="nil"/>
          <w:right w:val="nil"/>
          <w:between w:val="nil"/>
        </w:pBdr>
        <w:spacing w:before="51"/>
        <w:rPr>
          <w:b/>
          <w:bCs/>
          <w:color w:val="000000"/>
          <w:sz w:val="24"/>
          <w:szCs w:val="24"/>
        </w:rPr>
      </w:pPr>
    </w:p>
    <w:p w:rsidR="00973A41" w:rsidRDefault="005073D5" w14:paraId="1FA62EDC" w14:textId="77777777">
      <w:pPr>
        <w:pBdr>
          <w:top w:val="nil"/>
          <w:left w:val="nil"/>
          <w:bottom w:val="nil"/>
          <w:right w:val="nil"/>
          <w:between w:val="nil"/>
        </w:pBdr>
        <w:spacing w:before="51"/>
        <w:rPr>
          <w:b/>
          <w:bCs/>
          <w:color w:val="000000"/>
          <w:sz w:val="24"/>
          <w:szCs w:val="24"/>
        </w:rPr>
      </w:pPr>
      <w:r>
        <w:rPr>
          <w:b/>
          <w:bCs/>
          <w:color w:val="000000"/>
          <w:sz w:val="24"/>
          <w:szCs w:val="24"/>
        </w:rPr>
        <w:t>REPORTE DE ACTIVIDADES:</w:t>
      </w:r>
    </w:p>
    <w:p w:rsidR="00973A41" w:rsidRDefault="00973A41" w14:paraId="049F31CB" w14:textId="77777777">
      <w:pPr>
        <w:pBdr>
          <w:top w:val="nil"/>
          <w:left w:val="nil"/>
          <w:bottom w:val="nil"/>
          <w:right w:val="nil"/>
          <w:between w:val="nil"/>
        </w:pBdr>
        <w:spacing w:before="51"/>
        <w:ind w:left="142"/>
        <w:rPr>
          <w:b/>
          <w:bCs/>
          <w:color w:val="000000"/>
          <w:sz w:val="24"/>
          <w:szCs w:val="24"/>
        </w:rPr>
      </w:pPr>
    </w:p>
    <w:p w:rsidRPr="000D5EDE" w:rsidR="000D5EDE" w:rsidP="000D5EDE" w:rsidRDefault="000D5EDE" w14:paraId="51C421D0" w14:textId="77777777">
      <w:pPr>
        <w:pStyle w:val="Ttulo2"/>
        <w:rPr>
          <w:rFonts w:asciiTheme="minorHAnsi" w:hAnsiTheme="minorHAnsi" w:cstheme="minorHAnsi"/>
          <w:sz w:val="22"/>
          <w:szCs w:val="22"/>
        </w:rPr>
      </w:pPr>
      <w:r w:rsidRPr="000D5EDE">
        <w:rPr>
          <w:rFonts w:asciiTheme="minorHAnsi" w:hAnsiTheme="minorHAnsi" w:cstheme="minorHAnsi"/>
          <w:sz w:val="22"/>
          <w:szCs w:val="22"/>
        </w:rPr>
        <w:t>Actividad 1</w:t>
      </w:r>
    </w:p>
    <w:p w:rsidR="000A7E01" w:rsidP="000A7E01" w:rsidRDefault="000A7E01" w14:paraId="62486C05" w14:textId="77777777">
      <w:pPr>
        <w:pBdr>
          <w:top w:val="nil"/>
          <w:left w:val="nil"/>
          <w:bottom w:val="nil"/>
          <w:right w:val="nil"/>
          <w:between w:val="nil"/>
        </w:pBdr>
        <w:rPr>
          <w:b/>
          <w:bCs/>
          <w:color w:val="000000" w:themeColor="text1"/>
          <w:sz w:val="24"/>
          <w:szCs w:val="24"/>
          <w:lang w:val="es-ES"/>
        </w:rPr>
      </w:pPr>
    </w:p>
    <w:p w:rsidRPr="008A6559" w:rsidR="008A6559" w:rsidP="008A6559" w:rsidRDefault="008A6559" w14:paraId="01D741D0" w14:textId="7D8FC4A4">
      <w:pPr>
        <w:pStyle w:val="Ttulo2"/>
        <w:jc w:val="both"/>
        <w:rPr>
          <w:rFonts w:asciiTheme="minorHAnsi" w:hAnsiTheme="minorHAnsi" w:cstheme="minorHAnsi"/>
          <w:sz w:val="22"/>
          <w:szCs w:val="22"/>
        </w:rPr>
      </w:pPr>
      <w:bookmarkStart w:name="_GoBack" w:id="0"/>
      <w:r w:rsidRPr="008A6559">
        <w:rPr>
          <w:rFonts w:asciiTheme="minorHAnsi" w:hAnsiTheme="minorHAnsi" w:cstheme="minorHAnsi"/>
          <w:color w:val="000000" w:themeColor="text1"/>
          <w:sz w:val="22"/>
          <w:szCs w:val="22"/>
          <w:lang w:val="es-ES"/>
        </w:rPr>
        <w:t>Realización</w:t>
      </w:r>
      <w:r w:rsidRPr="008A6559" w:rsidR="00BA0067">
        <w:rPr>
          <w:rFonts w:asciiTheme="minorHAnsi" w:hAnsiTheme="minorHAnsi" w:cstheme="minorHAnsi"/>
          <w:color w:val="000000" w:themeColor="text1"/>
          <w:sz w:val="22"/>
          <w:szCs w:val="22"/>
          <w:lang w:val="es-ES"/>
        </w:rPr>
        <w:t xml:space="preserve"> Matriz </w:t>
      </w:r>
      <w:r w:rsidRPr="008A6559">
        <w:rPr>
          <w:rFonts w:asciiTheme="minorHAnsi" w:hAnsiTheme="minorHAnsi" w:cstheme="minorHAnsi"/>
          <w:sz w:val="22"/>
          <w:szCs w:val="22"/>
        </w:rPr>
        <w:t>Emprendimientos Comunitarios y Ruta de Formación para el Fortalecimiento de Capacidades en el Proyecto Raíz – Hábitat Sostenible y Productivo</w:t>
      </w:r>
    </w:p>
    <w:p w:rsidRPr="008A6559" w:rsidR="008A6559" w:rsidP="008A6559" w:rsidRDefault="008A6559" w14:paraId="3A04718D" w14:textId="77777777">
      <w:pPr>
        <w:pStyle w:val="isselectedend"/>
        <w:jc w:val="both"/>
        <w:rPr>
          <w:rFonts w:asciiTheme="minorHAnsi" w:hAnsiTheme="minorHAnsi" w:cstheme="minorHAnsi"/>
          <w:sz w:val="22"/>
          <w:szCs w:val="22"/>
        </w:rPr>
      </w:pPr>
      <w:r w:rsidRPr="008A6559">
        <w:rPr>
          <w:rFonts w:asciiTheme="minorHAnsi" w:hAnsiTheme="minorHAnsi" w:cstheme="minorHAnsi"/>
          <w:sz w:val="22"/>
          <w:szCs w:val="22"/>
        </w:rPr>
        <w:t xml:space="preserve">En el marco de la ejecución del Proyecto Raíz – Hábitat Sostenible y Productivo, se ha venido consolidando una estrategia integral orientada al fortalecimiento de las capacidades comunitarias, la generación de oportunidades económicas sostenibles y la construcción de modelos territoriales que contribuyan al mejoramiento de la calidad de vida de las comunidades participantes. Como resultado de los procesos de socialización, caracterización, talleres de </w:t>
      </w:r>
      <w:proofErr w:type="spellStart"/>
      <w:r w:rsidRPr="008A6559">
        <w:rPr>
          <w:rFonts w:asciiTheme="minorHAnsi" w:hAnsiTheme="minorHAnsi" w:cstheme="minorHAnsi"/>
          <w:sz w:val="22"/>
          <w:szCs w:val="22"/>
        </w:rPr>
        <w:t>cocreación</w:t>
      </w:r>
      <w:proofErr w:type="spellEnd"/>
      <w:r w:rsidRPr="008A6559">
        <w:rPr>
          <w:rFonts w:asciiTheme="minorHAnsi" w:hAnsiTheme="minorHAnsi" w:cstheme="minorHAnsi"/>
          <w:sz w:val="22"/>
          <w:szCs w:val="22"/>
        </w:rPr>
        <w:t xml:space="preserve"> y validación desarrollados en las diferentes regiones del país, se identificó la necesidad de promover emprendimientos comunitarios que permitan aprovechar las potencialidades productivas, culturales, ambientales y económicas de cada territorio.</w:t>
      </w:r>
    </w:p>
    <w:p w:rsidRPr="008A6559" w:rsidR="008A6559" w:rsidP="008A6559" w:rsidRDefault="008A6559" w14:paraId="5784EF69" w14:textId="77777777">
      <w:pPr>
        <w:pStyle w:val="isselectedend"/>
        <w:jc w:val="both"/>
        <w:rPr>
          <w:rFonts w:asciiTheme="minorHAnsi" w:hAnsiTheme="minorHAnsi" w:cstheme="minorHAnsi"/>
          <w:sz w:val="22"/>
          <w:szCs w:val="22"/>
        </w:rPr>
      </w:pPr>
      <w:r w:rsidRPr="008A6559">
        <w:rPr>
          <w:rFonts w:asciiTheme="minorHAnsi" w:hAnsiTheme="minorHAnsi" w:cstheme="minorHAnsi"/>
          <w:sz w:val="22"/>
          <w:szCs w:val="22"/>
        </w:rPr>
        <w:t xml:space="preserve">Los emprendimientos comunitarios constituyen una de las principales apuestas del componente económico del proyecto, ya que representan una oportunidad para fortalecer la economía local, generar ingresos, promover la </w:t>
      </w:r>
      <w:proofErr w:type="spellStart"/>
      <w:r w:rsidRPr="008A6559">
        <w:rPr>
          <w:rFonts w:asciiTheme="minorHAnsi" w:hAnsiTheme="minorHAnsi" w:cstheme="minorHAnsi"/>
          <w:sz w:val="22"/>
          <w:szCs w:val="22"/>
        </w:rPr>
        <w:t>asociatividad</w:t>
      </w:r>
      <w:proofErr w:type="spellEnd"/>
      <w:r w:rsidRPr="008A6559">
        <w:rPr>
          <w:rFonts w:asciiTheme="minorHAnsi" w:hAnsiTheme="minorHAnsi" w:cstheme="minorHAnsi"/>
          <w:sz w:val="22"/>
          <w:szCs w:val="22"/>
        </w:rPr>
        <w:t xml:space="preserve"> y consolidar procesos de desarrollo sostenible construidos desde las propias comunidades. A diferencia de iniciativas individuales, estos emprendimientos buscan involucrar activamente a grupos comunitarios, asociaciones, juntas de acción comunal, organizaciones étnicas, mujeres, jóvenes y demás actores territoriales, favoreciendo la participación colectiva y la distribución equitativa de beneficios.</w:t>
      </w:r>
    </w:p>
    <w:p w:rsidRPr="008A6559" w:rsidR="008A6559" w:rsidP="008A6559" w:rsidRDefault="008A6559" w14:paraId="21E1810A" w14:textId="77777777">
      <w:pPr>
        <w:pStyle w:val="isselectedend"/>
        <w:jc w:val="both"/>
        <w:rPr>
          <w:rFonts w:asciiTheme="minorHAnsi" w:hAnsiTheme="minorHAnsi" w:cstheme="minorHAnsi"/>
          <w:sz w:val="22"/>
          <w:szCs w:val="22"/>
        </w:rPr>
      </w:pPr>
      <w:r w:rsidRPr="008A6559">
        <w:rPr>
          <w:rFonts w:asciiTheme="minorHAnsi" w:hAnsiTheme="minorHAnsi" w:cstheme="minorHAnsi"/>
          <w:sz w:val="22"/>
          <w:szCs w:val="22"/>
        </w:rPr>
        <w:t xml:space="preserve">Como parte de este proceso, se han identificado diversas iniciativas productivas con potencial de escalabilidad en las comunidades intervenidas. Estas propuestas abarcan sectores como el turismo comunitario, la transformación agroalimentaria, la producción agrícola sostenible, las artesanías tradicionales, la agroindustria rural, la producción pecuaria, los servicios ambientales y la </w:t>
      </w:r>
      <w:proofErr w:type="spellStart"/>
      <w:r w:rsidRPr="008A6559">
        <w:rPr>
          <w:rFonts w:asciiTheme="minorHAnsi" w:hAnsiTheme="minorHAnsi" w:cstheme="minorHAnsi"/>
          <w:sz w:val="22"/>
          <w:szCs w:val="22"/>
        </w:rPr>
        <w:t>bioeconomía</w:t>
      </w:r>
      <w:proofErr w:type="spellEnd"/>
      <w:r w:rsidRPr="008A6559">
        <w:rPr>
          <w:rFonts w:asciiTheme="minorHAnsi" w:hAnsiTheme="minorHAnsi" w:cstheme="minorHAnsi"/>
          <w:sz w:val="22"/>
          <w:szCs w:val="22"/>
        </w:rPr>
        <w:t>. Cada una de estas iniciativas responde a las condiciones particulares de los territorios y a las oportunidades identificadas durante los procesos participativos desarrollados por el proyecto.</w:t>
      </w:r>
    </w:p>
    <w:p w:rsidRPr="008A6559" w:rsidR="008A6559" w:rsidP="008A6559" w:rsidRDefault="008A6559" w14:paraId="632013B4" w14:textId="77777777">
      <w:pPr>
        <w:pStyle w:val="isselectedend"/>
        <w:jc w:val="both"/>
        <w:rPr>
          <w:rFonts w:asciiTheme="minorHAnsi" w:hAnsiTheme="minorHAnsi" w:cstheme="minorHAnsi"/>
          <w:sz w:val="22"/>
          <w:szCs w:val="22"/>
        </w:rPr>
      </w:pPr>
      <w:r w:rsidRPr="008A6559">
        <w:rPr>
          <w:rFonts w:asciiTheme="minorHAnsi" w:hAnsiTheme="minorHAnsi" w:cstheme="minorHAnsi"/>
          <w:sz w:val="22"/>
          <w:szCs w:val="22"/>
        </w:rPr>
        <w:t>Sin embargo, la consolidación de emprendimientos comunitarios exitosos requiere no solamente la identificación de oportunidades productivas, sino también el fortalecimiento de capacidades técnicas, administrativas, comerciales y organizacionales que permitan garantizar su sostenibilidad en el tiempo. Por esta razón, el Proyecto Raíz contempla una Ruta de Formación Integral orientada a preparar a las comunidades para asumir los retos asociados a la gestión y operación de sus iniciativas económicas.</w:t>
      </w:r>
    </w:p>
    <w:p w:rsidRPr="008A6559" w:rsidR="008A6559" w:rsidP="008A6559" w:rsidRDefault="008A6559" w14:paraId="60A0CDA2" w14:textId="77777777">
      <w:pPr>
        <w:pStyle w:val="isselectedend"/>
        <w:jc w:val="both"/>
        <w:rPr>
          <w:rFonts w:asciiTheme="minorHAnsi" w:hAnsiTheme="minorHAnsi" w:cstheme="minorHAnsi"/>
          <w:sz w:val="22"/>
          <w:szCs w:val="22"/>
        </w:rPr>
      </w:pPr>
      <w:r w:rsidRPr="008A6559">
        <w:rPr>
          <w:rFonts w:asciiTheme="minorHAnsi" w:hAnsiTheme="minorHAnsi" w:cstheme="minorHAnsi"/>
          <w:sz w:val="22"/>
          <w:szCs w:val="22"/>
        </w:rPr>
        <w:lastRenderedPageBreak/>
        <w:t>La Ruta de Formación ha sido concebida como un proceso progresivo de fortalecimiento de competencias, diseñado para acompañar a las comunidades desde la etapa de identificación de oportunidades hasta la consolidación de modelos de negocio sostenibles. Esta estrategia combina procesos de formación técnica, acompañamiento metodológico, ejercicios prácticos y espacios de intercambio de experiencias, permitiendo que los participantes adquieran herramientas aplicables a sus contextos productivos y organizativos.</w:t>
      </w:r>
    </w:p>
    <w:p w:rsidRPr="008A6559" w:rsidR="008A6559" w:rsidP="008A6559" w:rsidRDefault="008A6559" w14:paraId="13FDB99D" w14:textId="77777777">
      <w:pPr>
        <w:pStyle w:val="isselectedend"/>
        <w:jc w:val="both"/>
        <w:rPr>
          <w:rFonts w:asciiTheme="minorHAnsi" w:hAnsiTheme="minorHAnsi" w:cstheme="minorHAnsi"/>
          <w:sz w:val="22"/>
          <w:szCs w:val="22"/>
        </w:rPr>
      </w:pPr>
      <w:r w:rsidRPr="008A6559">
        <w:rPr>
          <w:rFonts w:asciiTheme="minorHAnsi" w:hAnsiTheme="minorHAnsi" w:cstheme="minorHAnsi"/>
          <w:sz w:val="22"/>
          <w:szCs w:val="22"/>
        </w:rPr>
        <w:t xml:space="preserve">Dentro de esta ruta se contempla la realización de </w:t>
      </w:r>
      <w:proofErr w:type="spellStart"/>
      <w:r w:rsidRPr="008A6559">
        <w:rPr>
          <w:rFonts w:asciiTheme="minorHAnsi" w:hAnsiTheme="minorHAnsi" w:cstheme="minorHAnsi"/>
          <w:sz w:val="22"/>
          <w:szCs w:val="22"/>
        </w:rPr>
        <w:t>Bootcamps</w:t>
      </w:r>
      <w:proofErr w:type="spellEnd"/>
      <w:r w:rsidRPr="008A6559">
        <w:rPr>
          <w:rFonts w:asciiTheme="minorHAnsi" w:hAnsiTheme="minorHAnsi" w:cstheme="minorHAnsi"/>
          <w:sz w:val="22"/>
          <w:szCs w:val="22"/>
        </w:rPr>
        <w:t xml:space="preserve"> de Emprendimiento e Innovación Comunitaria, los cuales constituyen uno de los componentes más relevantes del proceso formativo. Los </w:t>
      </w:r>
      <w:proofErr w:type="spellStart"/>
      <w:r w:rsidRPr="008A6559">
        <w:rPr>
          <w:rFonts w:asciiTheme="minorHAnsi" w:hAnsiTheme="minorHAnsi" w:cstheme="minorHAnsi"/>
          <w:sz w:val="22"/>
          <w:szCs w:val="22"/>
        </w:rPr>
        <w:t>Bootcamps</w:t>
      </w:r>
      <w:proofErr w:type="spellEnd"/>
      <w:r w:rsidRPr="008A6559">
        <w:rPr>
          <w:rFonts w:asciiTheme="minorHAnsi" w:hAnsiTheme="minorHAnsi" w:cstheme="minorHAnsi"/>
          <w:sz w:val="22"/>
          <w:szCs w:val="22"/>
        </w:rPr>
        <w:t xml:space="preserve"> son espacios intensivos de aprendizaje colaborativo donde los participantes tienen la oportunidad de fortalecer conocimientos relacionados con liderazgo, innovación, formulación de modelos de negocio, análisis de mercado, propuesta de valor, comercialización, </w:t>
      </w:r>
      <w:proofErr w:type="spellStart"/>
      <w:r w:rsidRPr="008A6559">
        <w:rPr>
          <w:rFonts w:asciiTheme="minorHAnsi" w:hAnsiTheme="minorHAnsi" w:cstheme="minorHAnsi"/>
          <w:sz w:val="22"/>
          <w:szCs w:val="22"/>
        </w:rPr>
        <w:t>asociatividad</w:t>
      </w:r>
      <w:proofErr w:type="spellEnd"/>
      <w:r w:rsidRPr="008A6559">
        <w:rPr>
          <w:rFonts w:asciiTheme="minorHAnsi" w:hAnsiTheme="minorHAnsi" w:cstheme="minorHAnsi"/>
          <w:sz w:val="22"/>
          <w:szCs w:val="22"/>
        </w:rPr>
        <w:t>, gestión financiera y sostenibilidad empresarial.</w:t>
      </w:r>
    </w:p>
    <w:p w:rsidRPr="008A6559" w:rsidR="008A6559" w:rsidP="008A6559" w:rsidRDefault="008A6559" w14:paraId="07C675E2" w14:textId="77777777">
      <w:pPr>
        <w:pStyle w:val="isselectedend"/>
        <w:jc w:val="both"/>
        <w:rPr>
          <w:rFonts w:asciiTheme="minorHAnsi" w:hAnsiTheme="minorHAnsi" w:cstheme="minorHAnsi"/>
          <w:sz w:val="22"/>
          <w:szCs w:val="22"/>
        </w:rPr>
      </w:pPr>
      <w:r w:rsidRPr="008A6559">
        <w:rPr>
          <w:rFonts w:asciiTheme="minorHAnsi" w:hAnsiTheme="minorHAnsi" w:cstheme="minorHAnsi"/>
          <w:sz w:val="22"/>
          <w:szCs w:val="22"/>
        </w:rPr>
        <w:t>Estos espacios buscan promover una metodología práctica y participativa en la que las comunidades puedan trabajar directamente sobre sus propias iniciativas productivas, identificando oportunidades de mejora, fortaleciendo sus capacidades de gestión y construyendo estrategias que faciliten la generación de ingresos y el acceso a nuevos mercados. Asimismo, permiten fomentar el trabajo en equipo, la toma de decisiones colectivas y el intercambio de conocimientos entre diferentes comunidades participantes del proyecto.</w:t>
      </w:r>
    </w:p>
    <w:p w:rsidRPr="008A6559" w:rsidR="008A6559" w:rsidP="008A6559" w:rsidRDefault="008A6559" w14:paraId="63A51B44" w14:textId="77777777">
      <w:pPr>
        <w:pStyle w:val="isselectedend"/>
        <w:jc w:val="both"/>
        <w:rPr>
          <w:rFonts w:asciiTheme="minorHAnsi" w:hAnsiTheme="minorHAnsi" w:cstheme="minorHAnsi"/>
          <w:sz w:val="22"/>
          <w:szCs w:val="22"/>
        </w:rPr>
      </w:pPr>
      <w:r w:rsidRPr="008A6559">
        <w:rPr>
          <w:rFonts w:asciiTheme="minorHAnsi" w:hAnsiTheme="minorHAnsi" w:cstheme="minorHAnsi"/>
          <w:sz w:val="22"/>
          <w:szCs w:val="22"/>
        </w:rPr>
        <w:t xml:space="preserve">La implementación de los </w:t>
      </w:r>
      <w:proofErr w:type="spellStart"/>
      <w:r w:rsidRPr="008A6559">
        <w:rPr>
          <w:rFonts w:asciiTheme="minorHAnsi" w:hAnsiTheme="minorHAnsi" w:cstheme="minorHAnsi"/>
          <w:sz w:val="22"/>
          <w:szCs w:val="22"/>
        </w:rPr>
        <w:t>Bootcamps</w:t>
      </w:r>
      <w:proofErr w:type="spellEnd"/>
      <w:r w:rsidRPr="008A6559">
        <w:rPr>
          <w:rFonts w:asciiTheme="minorHAnsi" w:hAnsiTheme="minorHAnsi" w:cstheme="minorHAnsi"/>
          <w:sz w:val="22"/>
          <w:szCs w:val="22"/>
        </w:rPr>
        <w:t xml:space="preserve"> también tiene como propósito fortalecer las capacidades para la formulación de proyectos y la gestión de recursos externos, permitiendo que los emprendimientos comunitarios puedan acceder a convocatorias, programas de apoyo, fondos de cooperación y otras oportunidades de financiamiento que contribuyan a su crecimiento y sostenibilidad. De esta manera, se busca generar capacidades instaladas que permanezcan en las comunidades más allá de la duración del proyecto.</w:t>
      </w:r>
    </w:p>
    <w:p w:rsidRPr="008A6559" w:rsidR="008A6559" w:rsidP="008A6559" w:rsidRDefault="008A6559" w14:paraId="5013FA6F" w14:textId="77777777">
      <w:pPr>
        <w:pStyle w:val="isselectedend"/>
        <w:jc w:val="both"/>
        <w:rPr>
          <w:rFonts w:asciiTheme="minorHAnsi" w:hAnsiTheme="minorHAnsi" w:cstheme="minorHAnsi"/>
          <w:sz w:val="22"/>
          <w:szCs w:val="22"/>
        </w:rPr>
      </w:pPr>
      <w:r w:rsidRPr="008A6559">
        <w:rPr>
          <w:rFonts w:asciiTheme="minorHAnsi" w:hAnsiTheme="minorHAnsi" w:cstheme="minorHAnsi"/>
          <w:sz w:val="22"/>
          <w:szCs w:val="22"/>
        </w:rPr>
        <w:t>Complementariamente, la Ruta de Formación contempla procesos de acompañamiento técnico y asesoría especializada en áreas estratégicas para cada emprendimiento, incluyendo aspectos productivos, comerciales, administrativos, financieros, ambientales y organizacionales. Esto permitirá que las comunidades cuenten con herramientas integrales para enfrentar los desafíos propios de la gestión empresarial y fortalecer su capacidad de adaptación a las dinámicas del mercado.</w:t>
      </w:r>
    </w:p>
    <w:p w:rsidRPr="008A6559" w:rsidR="008A6559" w:rsidP="008A6559" w:rsidRDefault="008A6559" w14:paraId="297B6265" w14:textId="77777777">
      <w:pPr>
        <w:pStyle w:val="isselectedend"/>
        <w:jc w:val="both"/>
        <w:rPr>
          <w:rFonts w:asciiTheme="minorHAnsi" w:hAnsiTheme="minorHAnsi" w:cstheme="minorHAnsi"/>
          <w:sz w:val="22"/>
          <w:szCs w:val="22"/>
        </w:rPr>
      </w:pPr>
      <w:r w:rsidRPr="008A6559">
        <w:rPr>
          <w:rFonts w:asciiTheme="minorHAnsi" w:hAnsiTheme="minorHAnsi" w:cstheme="minorHAnsi"/>
          <w:sz w:val="22"/>
          <w:szCs w:val="22"/>
        </w:rPr>
        <w:t>Un aspecto fundamental de esta estrategia es la articulación entre los emprendimientos comunitarios y los demás componentes del Proyecto Raíz. Los procesos económicos se complementan con acciones relacionadas con hábitat, energía, agua y saneamiento, gestión ambiental, producción agropecuaria, construcción sostenible y fortalecimiento organizativo, generando una visión integral del desarrollo territorial. Esta articulación permite que los emprendimientos no sean concebidos como iniciativas aisladas, sino como parte de un modelo comunitario más amplio orientado al bienestar colectivo y la sostenibilidad territorial.</w:t>
      </w:r>
    </w:p>
    <w:p w:rsidRPr="008A6559" w:rsidR="008A6559" w:rsidP="008A6559" w:rsidRDefault="008A6559" w14:paraId="7D7A9002" w14:textId="77777777">
      <w:pPr>
        <w:pStyle w:val="isselectedend"/>
        <w:jc w:val="both"/>
        <w:rPr>
          <w:rFonts w:asciiTheme="minorHAnsi" w:hAnsiTheme="minorHAnsi" w:cstheme="minorHAnsi"/>
          <w:sz w:val="22"/>
          <w:szCs w:val="22"/>
        </w:rPr>
      </w:pPr>
      <w:r w:rsidRPr="008A6559">
        <w:rPr>
          <w:rFonts w:asciiTheme="minorHAnsi" w:hAnsiTheme="minorHAnsi" w:cstheme="minorHAnsi"/>
          <w:sz w:val="22"/>
          <w:szCs w:val="22"/>
        </w:rPr>
        <w:t xml:space="preserve">En este contexto, la formación se convierte en un elemento estratégico para garantizar que las comunidades puedan apropiarse de los conocimientos, metodologías y herramientas necesarias para </w:t>
      </w:r>
      <w:r w:rsidRPr="008A6559">
        <w:rPr>
          <w:rFonts w:asciiTheme="minorHAnsi" w:hAnsiTheme="minorHAnsi" w:cstheme="minorHAnsi"/>
          <w:sz w:val="22"/>
          <w:szCs w:val="22"/>
        </w:rPr>
        <w:lastRenderedPageBreak/>
        <w:t xml:space="preserve">liderar sus propios procesos de desarrollo. La combinación de emprendimientos comunitarios, procesos de capacitación, </w:t>
      </w:r>
      <w:proofErr w:type="spellStart"/>
      <w:r w:rsidRPr="008A6559">
        <w:rPr>
          <w:rFonts w:asciiTheme="minorHAnsi" w:hAnsiTheme="minorHAnsi" w:cstheme="minorHAnsi"/>
          <w:sz w:val="22"/>
          <w:szCs w:val="22"/>
        </w:rPr>
        <w:t>Bootcamps</w:t>
      </w:r>
      <w:proofErr w:type="spellEnd"/>
      <w:r w:rsidRPr="008A6559">
        <w:rPr>
          <w:rFonts w:asciiTheme="minorHAnsi" w:hAnsiTheme="minorHAnsi" w:cstheme="minorHAnsi"/>
          <w:sz w:val="22"/>
          <w:szCs w:val="22"/>
        </w:rPr>
        <w:t xml:space="preserve"> de innovación y acompañamiento técnico especializado permitirá fortalecer el tejido social, incrementar las capacidades locales y generar oportunidades económicas que contribuyan al desarrollo sostenible de los territorios.</w:t>
      </w:r>
    </w:p>
    <w:p w:rsidRPr="008A6559" w:rsidR="008A6559" w:rsidP="008A6559" w:rsidRDefault="008A6559" w14:paraId="61F39C54" w14:textId="77777777">
      <w:pPr>
        <w:pStyle w:val="NormalWeb"/>
        <w:jc w:val="both"/>
        <w:rPr>
          <w:rFonts w:asciiTheme="minorHAnsi" w:hAnsiTheme="minorHAnsi" w:cstheme="minorHAnsi"/>
          <w:sz w:val="22"/>
          <w:szCs w:val="22"/>
        </w:rPr>
      </w:pPr>
      <w:r w:rsidRPr="008A6559">
        <w:rPr>
          <w:rFonts w:asciiTheme="minorHAnsi" w:hAnsiTheme="minorHAnsi" w:cstheme="minorHAnsi"/>
          <w:sz w:val="22"/>
          <w:szCs w:val="22"/>
        </w:rPr>
        <w:t xml:space="preserve">En conclusión, la estrategia de emprendimientos comunitarios y la Ruta de Formación del Proyecto Raíz constituyen un mecanismo fundamental para transformar las potencialidades identificadas en oportunidades reales de desarrollo. A través de los procesos formativos, los </w:t>
      </w:r>
      <w:proofErr w:type="spellStart"/>
      <w:r w:rsidRPr="008A6559">
        <w:rPr>
          <w:rFonts w:asciiTheme="minorHAnsi" w:hAnsiTheme="minorHAnsi" w:cstheme="minorHAnsi"/>
          <w:sz w:val="22"/>
          <w:szCs w:val="22"/>
        </w:rPr>
        <w:t>Bootcamps</w:t>
      </w:r>
      <w:proofErr w:type="spellEnd"/>
      <w:r w:rsidRPr="008A6559">
        <w:rPr>
          <w:rFonts w:asciiTheme="minorHAnsi" w:hAnsiTheme="minorHAnsi" w:cstheme="minorHAnsi"/>
          <w:sz w:val="22"/>
          <w:szCs w:val="22"/>
        </w:rPr>
        <w:t xml:space="preserve"> y el acompañamiento técnico, se espera fortalecer las capacidades de las comunidades para gestionar iniciativas sostenibles, mejorar sus condiciones económicas y consolidar modelos territoriales </w:t>
      </w:r>
      <w:proofErr w:type="spellStart"/>
      <w:r w:rsidRPr="008A6559">
        <w:rPr>
          <w:rFonts w:asciiTheme="minorHAnsi" w:hAnsiTheme="minorHAnsi" w:cstheme="minorHAnsi"/>
          <w:sz w:val="22"/>
          <w:szCs w:val="22"/>
        </w:rPr>
        <w:t>resilientes</w:t>
      </w:r>
      <w:proofErr w:type="spellEnd"/>
      <w:r w:rsidRPr="008A6559">
        <w:rPr>
          <w:rFonts w:asciiTheme="minorHAnsi" w:hAnsiTheme="minorHAnsi" w:cstheme="minorHAnsi"/>
          <w:sz w:val="22"/>
          <w:szCs w:val="22"/>
        </w:rPr>
        <w:t xml:space="preserve"> que generen beneficios sociales, ambientales y productivos a largo plazo.</w:t>
      </w:r>
    </w:p>
    <w:p w:rsidR="00BA0067" w:rsidP="008A6559" w:rsidRDefault="00BA0067" w14:paraId="31C8B79D" w14:textId="4C826529">
      <w:pPr>
        <w:pBdr>
          <w:top w:val="nil"/>
          <w:left w:val="nil"/>
          <w:bottom w:val="nil"/>
          <w:right w:val="nil"/>
          <w:between w:val="nil"/>
        </w:pBdr>
        <w:jc w:val="both"/>
        <w:rPr>
          <w:color w:val="000000"/>
          <w:sz w:val="24"/>
          <w:szCs w:val="24"/>
        </w:rPr>
      </w:pPr>
    </w:p>
    <w:bookmarkEnd w:id="0"/>
    <w:p w:rsidR="00BA0067" w:rsidP="2A172791" w:rsidRDefault="00BA0067" w14:paraId="08C3D724" w14:textId="77777777">
      <w:pPr>
        <w:pBdr>
          <w:top w:val="nil"/>
          <w:left w:val="nil"/>
          <w:bottom w:val="nil"/>
          <w:right w:val="nil"/>
          <w:between w:val="nil"/>
        </w:pBdr>
        <w:rPr>
          <w:rFonts w:eastAsia="Times New Roman" w:asciiTheme="minorHAnsi" w:hAnsiTheme="minorHAnsi" w:cstheme="minorHAnsi"/>
          <w:lang w:val="es-ES"/>
        </w:rPr>
      </w:pPr>
    </w:p>
    <w:p w:rsidR="00BA0067" w:rsidP="2A172791" w:rsidRDefault="00BA0067" w14:paraId="5C213E91" w14:textId="77777777">
      <w:pPr>
        <w:pBdr>
          <w:top w:val="nil"/>
          <w:left w:val="nil"/>
          <w:bottom w:val="nil"/>
          <w:right w:val="nil"/>
          <w:between w:val="nil"/>
        </w:pBdr>
        <w:rPr>
          <w:rFonts w:eastAsia="Times New Roman" w:asciiTheme="minorHAnsi" w:hAnsiTheme="minorHAnsi" w:cstheme="minorHAnsi"/>
          <w:lang w:val="es-ES"/>
        </w:rPr>
      </w:pPr>
    </w:p>
    <w:p w:rsidR="000A7E01" w:rsidP="73C3F0E5" w:rsidRDefault="00415B75" w14:paraId="4101652C" w14:textId="5E1F42FE">
      <w:pPr>
        <w:pStyle w:val="Normal"/>
        <w:pBdr>
          <w:top w:val="nil" w:color="FF000000" w:sz="0" w:space="0"/>
          <w:left w:val="nil" w:color="FF000000" w:sz="0" w:space="0"/>
          <w:bottom w:val="nil" w:color="FF000000" w:sz="0" w:space="0"/>
          <w:right w:val="nil" w:color="FF000000" w:sz="0" w:space="0"/>
          <w:between w:val="nil" w:color="FF000000" w:sz="0" w:space="0"/>
        </w:pBdr>
        <w:rPr>
          <w:rFonts w:ascii="Calibri" w:hAnsi="Calibri" w:eastAsia="Calibri" w:cs="Calibri"/>
          <w:noProof w:val="0"/>
          <w:sz w:val="24"/>
          <w:szCs w:val="24"/>
          <w:lang w:val="es"/>
        </w:rPr>
      </w:pPr>
      <w:hyperlink r:id="R4907f260322c43e8">
        <w:r w:rsidRPr="73C3F0E5" w:rsidR="1BEC0188">
          <w:rPr>
            <w:rStyle w:val="Hipervnculo"/>
            <w:rFonts w:ascii="Calibri" w:hAnsi="Calibri" w:eastAsia="Calibri" w:cs="Calibri"/>
            <w:noProof w:val="0"/>
            <w:sz w:val="24"/>
            <w:szCs w:val="24"/>
            <w:lang w:val="es"/>
          </w:rPr>
          <w:t>Evidencia actividad 1</w:t>
        </w:r>
      </w:hyperlink>
    </w:p>
    <w:p w:rsidR="73C3F0E5" w:rsidP="73C3F0E5" w:rsidRDefault="73C3F0E5" w14:paraId="18157DBB" w14:textId="7490FEBF">
      <w:pPr>
        <w:pStyle w:val="Normal"/>
        <w:pBdr>
          <w:top w:val="nil" w:color="FF000000" w:sz="0" w:space="0"/>
          <w:left w:val="nil" w:color="FF000000" w:sz="0" w:space="0"/>
          <w:bottom w:val="nil" w:color="FF000000" w:sz="0" w:space="0"/>
          <w:right w:val="nil" w:color="FF000000" w:sz="0" w:space="0"/>
          <w:between w:val="nil" w:color="FF000000" w:sz="0" w:space="0"/>
        </w:pBdr>
        <w:rPr>
          <w:rFonts w:ascii="Calibri" w:hAnsi="Calibri" w:eastAsia="Calibri" w:cs="Calibri"/>
          <w:noProof w:val="0"/>
          <w:sz w:val="24"/>
          <w:szCs w:val="24"/>
          <w:lang w:val="es"/>
        </w:rPr>
      </w:pPr>
    </w:p>
    <w:sectPr w:rsidR="000A7E01">
      <w:headerReference w:type="default" r:id="rId10"/>
      <w:footerReference w:type="default" r:id="rId11"/>
      <w:pgSz w:w="12240" w:h="15840" w:orient="portrait"/>
      <w:pgMar w:top="1880" w:right="1560" w:bottom="1920" w:left="1560" w:header="732" w:footer="172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5B75" w:rsidRDefault="00415B75" w14:paraId="1BDC57AA" w14:textId="77777777">
      <w:r>
        <w:separator/>
      </w:r>
    </w:p>
  </w:endnote>
  <w:endnote w:type="continuationSeparator" w:id="0">
    <w:p w:rsidR="00415B75" w:rsidRDefault="00415B75" w14:paraId="1C4444C7"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w:fontKey="{D73DAB84-795A-41BC-9AB5-0ADE2EE22615}" r:id="rId1"/>
    <w:embedBold w:fontKey="{55F52830-D532-49F7-BEC2-E094922D36AA}" r:id="rId2"/>
  </w:font>
  <w:font w:name="Georgia">
    <w:panose1 w:val="02040502050405020303"/>
    <w:charset w:val="00"/>
    <w:family w:val="roman"/>
    <w:pitch w:val="variable"/>
    <w:sig w:usb0="00000287" w:usb1="00000000" w:usb2="00000000" w:usb3="00000000" w:csb0="0000009F" w:csb1="00000000"/>
    <w:embedItalic w:fontKey="{20E23B61-86E9-4C83-A13F-89DDA2A48290}" r:id="rId3"/>
  </w:font>
  <w:font w:name="Tahoma">
    <w:panose1 w:val="020B0604030504040204"/>
    <w:charset w:val="00"/>
    <w:family w:val="swiss"/>
    <w:pitch w:val="variable"/>
    <w:sig w:usb0="E1002EFF" w:usb1="C000605B" w:usb2="00000029" w:usb3="00000000" w:csb0="000101FF" w:csb1="00000000"/>
    <w:embedRegular w:fontKey="{E57E24E4-1E37-46A3-9E6B-22B016016BE4}" r:id="rId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w:fontKey="{9A3B294E-DEEF-4690-84C0-B8E058EE896E}" r:id="rId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p14">
  <w:p w:rsidR="00973A41" w:rsidRDefault="005073D5" w14:paraId="11C39C1B" w14:textId="77777777">
    <w:pPr>
      <w:pBdr>
        <w:top w:val="nil"/>
        <w:left w:val="nil"/>
        <w:bottom w:val="nil"/>
        <w:right w:val="nil"/>
        <w:between w:val="nil"/>
      </w:pBdr>
      <w:spacing w:line="14" w:lineRule="auto"/>
      <w:rPr>
        <w:color w:val="000000"/>
        <w:sz w:val="20"/>
        <w:szCs w:val="20"/>
      </w:rPr>
    </w:pPr>
    <w:r>
      <w:rPr>
        <w:noProof/>
        <w:lang w:val="es-ES"/>
      </w:rPr>
      <mc:AlternateContent>
        <mc:Choice Requires="wps">
          <w:drawing>
            <wp:anchor distT="0" distB="0" distL="0" distR="0" simplePos="0" relativeHeight="251659264" behindDoc="1" locked="0" layoutInCell="1" hidden="0" allowOverlap="1" wp14:anchorId="790B3AB0" wp14:editId="07777777">
              <wp:simplePos x="0" y="0"/>
              <wp:positionH relativeFrom="column">
                <wp:posOffset>5584826</wp:posOffset>
              </wp:positionH>
              <wp:positionV relativeFrom="paragraph">
                <wp:posOffset>8811896</wp:posOffset>
              </wp:positionV>
              <wp:extent cx="178435" cy="186055"/>
              <wp:effectExtent l="0" t="0" r="0" b="0"/>
              <wp:wrapNone/>
              <wp:docPr id="678004058" name="678004058 Rectángulo"/>
              <wp:cNvGraphicFramePr/>
              <a:graphic xmlns:a="http://schemas.openxmlformats.org/drawingml/2006/main">
                <a:graphicData uri="http://schemas.microsoft.com/office/word/2010/wordprocessingShape">
                  <wps:wsp>
                    <wps:cNvSpPr/>
                    <wps:spPr>
                      <a:xfrm>
                        <a:off x="5266308" y="3696498"/>
                        <a:ext cx="159385" cy="167005"/>
                      </a:xfrm>
                      <a:prstGeom prst="rect">
                        <a:avLst/>
                      </a:prstGeom>
                      <a:noFill/>
                      <a:ln>
                        <a:noFill/>
                      </a:ln>
                    </wps:spPr>
                    <wps:txbx>
                      <w:txbxContent>
                        <w:p w:rsidR="00973A41" w:rsidRDefault="005073D5" w14:paraId="4590CB77" w14:textId="77777777">
                          <w:pPr>
                            <w:spacing w:before="12"/>
                            <w:ind w:left="60" w:firstLine="120"/>
                            <w:textDirection w:val="btLr"/>
                          </w:pPr>
                          <w:r>
                            <w:rPr>
                              <w:rFonts w:ascii="Arial" w:hAnsi="Arial" w:eastAsia="Arial" w:cs="Arial"/>
                              <w:color w:val="000000"/>
                              <w:sz w:val="20"/>
                            </w:rPr>
                            <w:t xml:space="preserve"> PAGE 1</w:t>
                          </w:r>
                        </w:p>
                      </w:txbxContent>
                    </wps:txbx>
                    <wps:bodyPr spcFirstLastPara="1" wrap="square" lIns="0" tIns="0" rIns="0" bIns="0" anchor="t" anchorCtr="0">
                      <a:noAutofit/>
                    </wps:bodyPr>
                  </wps:wsp>
                </a:graphicData>
              </a:graphic>
            </wp:anchor>
          </w:drawing>
        </mc:Choice>
        <mc:Fallback>
          <w:pict>
            <v:rect id="678004058 Rectángulo" style="position:absolute;margin-left:439.75pt;margin-top:693.85pt;width:14.05pt;height:14.65pt;z-index:-251657216;visibility:visible;mso-wrap-style:square;mso-wrap-distance-left:0;mso-wrap-distance-top:0;mso-wrap-distance-right:0;mso-wrap-distance-bottom:0;mso-position-horizontal:absolute;mso-position-horizontal-relative:text;mso-position-vertical:absolute;mso-position-vertical-relative:text;v-text-anchor:top" o:spid="_x0000_s1026" filled="f"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">
              <v:textbox inset="0,0,0,0">
                <w:txbxContent>
                  <w:p w:rsidR="00973A41" w:rsidRDefault="005073D5" w14:paraId="4590CB77" w14:textId="77777777">
                    <w:pPr>
                      <w:spacing w:before="12"/>
                      <w:ind w:left="60" w:firstLine="120"/>
                      <w:textDirection w:val="btLr"/>
                    </w:pPr>
                    <w:r>
                      <w:rPr>
                        <w:rFonts w:ascii="Arial" w:hAnsi="Arial" w:eastAsia="Arial" w:cs="Arial"/>
                        <w:color w:val="000000"/>
                        <w:sz w:val="20"/>
                      </w:rPr>
                      <w:t xml:space="preserve"> PAGE 1</w:t>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5B75" w:rsidRDefault="00415B75" w14:paraId="4E65CA15" w14:textId="77777777">
      <w:r>
        <w:separator/>
      </w:r>
    </w:p>
  </w:footnote>
  <w:footnote w:type="continuationSeparator" w:id="0">
    <w:p w:rsidR="00415B75" w:rsidRDefault="00415B75" w14:paraId="3CC168A4" w14:textId="777777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p14">
  <w:p w:rsidR="00973A41" w:rsidRDefault="005073D5" w14:paraId="0A25C536" w14:textId="77777777">
    <w:pPr>
      <w:pBdr>
        <w:top w:val="nil"/>
        <w:left w:val="nil"/>
        <w:bottom w:val="nil"/>
        <w:right w:val="nil"/>
        <w:between w:val="nil"/>
      </w:pBdr>
      <w:spacing w:line="14" w:lineRule="auto"/>
      <w:rPr>
        <w:color w:val="000000"/>
        <w:sz w:val="20"/>
        <w:szCs w:val="20"/>
      </w:rPr>
    </w:pPr>
    <w:r>
      <w:rPr>
        <w:noProof/>
        <w:lang w:val="es-ES"/>
      </w:rPr>
      <w:drawing>
        <wp:anchor distT="0" distB="0" distL="114300" distR="114300" simplePos="0" relativeHeight="251658240" behindDoc="0" locked="0" layoutInCell="1" hidden="0" allowOverlap="1" wp14:anchorId="5D1E4EB9" wp14:editId="07777777">
          <wp:simplePos x="0" y="0"/>
          <wp:positionH relativeFrom="column">
            <wp:posOffset>2613836</wp:posOffset>
          </wp:positionH>
          <wp:positionV relativeFrom="paragraph">
            <wp:posOffset>196879</wp:posOffset>
          </wp:positionV>
          <wp:extent cx="563525" cy="497244"/>
          <wp:effectExtent l="0" t="0" r="0" b="0"/>
          <wp:wrapSquare wrapText="bothSides" distT="0" distB="0" distL="114300" distR="114300"/>
          <wp:docPr id="678004059" name="image1.jpg" descr="Sena logos"/>
          <wp:cNvGraphicFramePr/>
          <a:graphic xmlns:a="http://schemas.openxmlformats.org/drawingml/2006/main">
            <a:graphicData uri="http://schemas.openxmlformats.org/drawingml/2006/picture">
              <pic:pic xmlns:pic="http://schemas.openxmlformats.org/drawingml/2006/picture">
                <pic:nvPicPr>
                  <pic:cNvPr id="0" name="image1.jpg" descr="Sena logos"/>
                  <pic:cNvPicPr preferRelativeResize="0"/>
                </pic:nvPicPr>
                <pic:blipFill>
                  <a:blip r:embed="rId1"/>
                  <a:srcRect l="3484"/>
                  <a:stretch>
                    <a:fillRect/>
                  </a:stretch>
                </pic:blipFill>
                <pic:spPr>
                  <a:xfrm>
                    <a:off x="0" y="0"/>
                    <a:ext cx="563525" cy="497244"/>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921632"/>
    <w:multiLevelType w:val="multilevel"/>
    <w:tmpl w:val="60D8A9B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
    <w:nsid w:val="1DD40DA2"/>
    <w:multiLevelType w:val="multilevel"/>
    <w:tmpl w:val="6978893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nsid w:val="43DF740A"/>
    <w:multiLevelType w:val="multilevel"/>
    <w:tmpl w:val="D3DEA70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
    <w:nsid w:val="52135C59"/>
    <w:multiLevelType w:val="multilevel"/>
    <w:tmpl w:val="F3DE505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nsid w:val="52403AD8"/>
    <w:multiLevelType w:val="multilevel"/>
    <w:tmpl w:val="7EA8924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
    <w:nsid w:val="52AE195D"/>
    <w:multiLevelType w:val="multilevel"/>
    <w:tmpl w:val="6E22A31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nsid w:val="6A016BD1"/>
    <w:multiLevelType w:val="multilevel"/>
    <w:tmpl w:val="ED267BC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nsid w:val="72975112"/>
    <w:multiLevelType w:val="multilevel"/>
    <w:tmpl w:val="A7C8549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nsid w:val="78116660"/>
    <w:multiLevelType w:val="multilevel"/>
    <w:tmpl w:val="8E028E3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abstractNumId w:val="4"/>
  </w:num>
  <w:num w:numId="2">
    <w:abstractNumId w:val="8"/>
  </w:num>
  <w:num w:numId="3">
    <w:abstractNumId w:val="7"/>
  </w:num>
  <w:num w:numId="4">
    <w:abstractNumId w:val="6"/>
  </w:num>
  <w:num w:numId="5">
    <w:abstractNumId w:val="3"/>
  </w:num>
  <w:num w:numId="6">
    <w:abstractNumId w:val="2"/>
  </w:num>
  <w:num w:numId="7">
    <w:abstractNumId w:val="5"/>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973A41"/>
    <w:rsid w:val="0001127D"/>
    <w:rsid w:val="00014382"/>
    <w:rsid w:val="000A7E01"/>
    <w:rsid w:val="000D5EDE"/>
    <w:rsid w:val="00166B7D"/>
    <w:rsid w:val="00167103"/>
    <w:rsid w:val="00247F5F"/>
    <w:rsid w:val="00415B75"/>
    <w:rsid w:val="004D2C3A"/>
    <w:rsid w:val="005073D5"/>
    <w:rsid w:val="005260E0"/>
    <w:rsid w:val="005A76B8"/>
    <w:rsid w:val="00680C88"/>
    <w:rsid w:val="00692FDD"/>
    <w:rsid w:val="006E6635"/>
    <w:rsid w:val="00756ECE"/>
    <w:rsid w:val="00773727"/>
    <w:rsid w:val="00795227"/>
    <w:rsid w:val="008A6559"/>
    <w:rsid w:val="008C6CC5"/>
    <w:rsid w:val="00942CD6"/>
    <w:rsid w:val="00973A41"/>
    <w:rsid w:val="00A30C85"/>
    <w:rsid w:val="00BA0067"/>
    <w:rsid w:val="00C059D8"/>
    <w:rsid w:val="00ED6476"/>
    <w:rsid w:val="0559FCD9"/>
    <w:rsid w:val="0ECCB4DC"/>
    <w:rsid w:val="15F38BBA"/>
    <w:rsid w:val="1BEC0188"/>
    <w:rsid w:val="2118FFA5"/>
    <w:rsid w:val="2A172791"/>
    <w:rsid w:val="4B572B96"/>
    <w:rsid w:val="5553F3F8"/>
    <w:rsid w:val="580A5548"/>
    <w:rsid w:val="73C3F0E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D950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hAnsi="Calibri" w:eastAsia="Calibri" w:cs="Calibri"/>
        <w:sz w:val="22"/>
        <w:szCs w:val="22"/>
        <w:lang w:val="es" w:eastAsia="es-ES" w:bidi="ar-SA"/>
      </w:rPr>
    </w:rPrDefault>
    <w:pPrDefault>
      <w:pPr>
        <w:widowControl w:val="0"/>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styleId="TableNormal0" w:customStyle="1">
    <w:name w:val="TableNormal0"/>
    <w:tblPr>
      <w:tblCellMar>
        <w:top w:w="100" w:type="dxa"/>
        <w:left w:w="100" w:type="dxa"/>
        <w:bottom w:w="100" w:type="dxa"/>
        <w:right w:w="100" w:type="dxa"/>
      </w:tblCellMar>
    </w:tblPr>
  </w:style>
  <w:style w:type="table" w:styleId="TableNormal1" w:customStyle="1">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style>
  <w:style w:type="paragraph" w:styleId="TableParagraph" w:customStyle="1">
    <w:name w:val="Table Paragraph"/>
    <w:basedOn w:val="Normal"/>
    <w:uiPriority w:val="1"/>
    <w:qFormat/>
    <w:pPr>
      <w:spacing w:line="272" w:lineRule="exact"/>
      <w:ind w:left="107"/>
    </w:pPr>
  </w:style>
  <w:style w:type="paragraph" w:styleId="Encabezado">
    <w:name w:val="header"/>
    <w:basedOn w:val="Normal"/>
    <w:link w:val="EncabezadoCar"/>
    <w:uiPriority w:val="99"/>
    <w:unhideWhenUsed/>
    <w:rsid w:val="00145CFF"/>
    <w:pPr>
      <w:tabs>
        <w:tab w:val="center" w:pos="4419"/>
        <w:tab w:val="right" w:pos="8838"/>
      </w:tabs>
    </w:pPr>
  </w:style>
  <w:style w:type="character" w:styleId="EncabezadoCar" w:customStyle="1">
    <w:name w:val="Encabezado Car"/>
    <w:link w:val="Encabezado"/>
    <w:uiPriority w:val="99"/>
    <w:rsid w:val="2A172791"/>
    <w:rPr>
      <w:lang w:val="es-ES"/>
    </w:rPr>
  </w:style>
  <w:style w:type="paragraph" w:styleId="Piedepgina">
    <w:name w:val="footer"/>
    <w:basedOn w:val="Normal"/>
    <w:link w:val="PiedepginaCar"/>
    <w:uiPriority w:val="99"/>
    <w:unhideWhenUsed/>
    <w:rsid w:val="00145CFF"/>
    <w:pPr>
      <w:tabs>
        <w:tab w:val="center" w:pos="4419"/>
        <w:tab w:val="right" w:pos="8838"/>
      </w:tabs>
    </w:pPr>
  </w:style>
  <w:style w:type="character" w:styleId="PiedepginaCar" w:customStyle="1">
    <w:name w:val="Pie de página Car"/>
    <w:link w:val="Piedepgina"/>
    <w:uiPriority w:val="99"/>
    <w:rsid w:val="2A172791"/>
    <w:rPr>
      <w:lang w:val="es-ES"/>
    </w:rPr>
  </w:style>
  <w:style w:type="character" w:styleId="selectable-text" w:customStyle="1">
    <w:name w:val="selectable-text"/>
    <w:uiPriority w:val="1"/>
    <w:rsid w:val="2A172791"/>
  </w:style>
  <w:style w:type="paragraph" w:styleId="Sinespaciado">
    <w:name w:val="No Spacing"/>
    <w:link w:val="SinespaciadoCar"/>
    <w:uiPriority w:val="1"/>
    <w:qFormat/>
    <w:rsid w:val="002D551D"/>
    <w:pPr>
      <w:widowControl/>
      <w:spacing w:after="160" w:line="480" w:lineRule="auto"/>
    </w:pPr>
    <w:rPr>
      <w:rFonts w:eastAsiaTheme="minorEastAsia"/>
      <w:lang w:val="es-CO"/>
    </w:rPr>
  </w:style>
  <w:style w:type="character" w:styleId="SinespaciadoCar" w:customStyle="1">
    <w:name w:val="Sin espaciado Car"/>
    <w:link w:val="Sinespaciado"/>
    <w:uiPriority w:val="1"/>
    <w:rsid w:val="2A172791"/>
    <w:rPr>
      <w:rFonts w:eastAsiaTheme="minorEastAsia"/>
      <w:lang w:val="es-CO" w:eastAsia="es-CO"/>
    </w:rPr>
  </w:style>
  <w:style w:type="paragraph" w:styleId="NormalWeb">
    <w:name w:val="Normal (Web)"/>
    <w:basedOn w:val="Normal"/>
    <w:uiPriority w:val="99"/>
    <w:semiHidden/>
    <w:unhideWhenUsed/>
    <w:rsid w:val="002D551D"/>
    <w:pPr>
      <w:widowControl/>
      <w:spacing w:before="100" w:beforeAutospacing="1" w:after="100" w:afterAutospacing="1"/>
    </w:pPr>
    <w:rPr>
      <w:rFonts w:ascii="Times New Roman" w:hAnsi="Times New Roman" w:eastAsia="Times New Roman" w:cs="Times New Roman"/>
      <w:sz w:val="24"/>
      <w:szCs w:val="24"/>
      <w:lang w:val="es-CO"/>
    </w:rPr>
  </w:style>
  <w:style w:type="table" w:styleId="a" w:customStyle="1">
    <w:basedOn w:val="TableNormal1"/>
    <w:tblPr>
      <w:tblStyleRowBandSize w:val="1"/>
      <w:tblStyleColBandSize w:val="1"/>
      <w:tblInd w:w="0" w:type="dxa"/>
      <w:tblCellMar>
        <w:top w:w="0" w:type="dxa"/>
        <w:left w:w="0" w:type="dxa"/>
        <w:bottom w:w="0" w:type="dxa"/>
        <w:right w:w="0" w:type="dxa"/>
      </w:tblCellMar>
    </w:tblPr>
  </w:style>
  <w:style w:type="paragraph" w:styleId="Subttulo">
    <w:name w:val="Subtitle"/>
    <w:basedOn w:val="Normal"/>
    <w:next w:val="Normal"/>
    <w:pPr>
      <w:keepNext/>
      <w:keepLines/>
      <w:spacing w:before="360" w:after="80"/>
    </w:pPr>
    <w:rPr>
      <w:rFonts w:ascii="Georgia" w:hAnsi="Georgia" w:eastAsia="Georgia" w:cs="Georgia"/>
      <w:i/>
      <w:iCs/>
      <w:color w:val="666666"/>
      <w:sz w:val="48"/>
      <w:szCs w:val="48"/>
    </w:rPr>
  </w:style>
  <w:style w:type="table" w:styleId="a0" w:customStyle="1">
    <w:basedOn w:val="TableNormal0"/>
    <w:tblPr>
      <w:tblStyleRowBandSize w:val="1"/>
      <w:tblStyleColBandSize w:val="1"/>
      <w:tblCellMar>
        <w:top w:w="0" w:type="dxa"/>
        <w:left w:w="0" w:type="dxa"/>
        <w:bottom w:w="0" w:type="dxa"/>
        <w:right w:w="0" w:type="dxa"/>
      </w:tblCellMar>
    </w:tblPr>
  </w:style>
  <w:style w:type="paragraph" w:styleId="Textodeglobo">
    <w:name w:val="Balloon Text"/>
    <w:basedOn w:val="Normal"/>
    <w:link w:val="TextodegloboCar"/>
    <w:uiPriority w:val="99"/>
    <w:semiHidden/>
    <w:unhideWhenUsed/>
    <w:rsid w:val="00692FDD"/>
    <w:rPr>
      <w:rFonts w:ascii="Tahoma" w:hAnsi="Tahoma" w:cs="Tahoma"/>
      <w:sz w:val="16"/>
      <w:szCs w:val="16"/>
    </w:rPr>
  </w:style>
  <w:style w:type="character" w:styleId="TextodegloboCar" w:customStyle="1">
    <w:name w:val="Texto de globo Car"/>
    <w:link w:val="Textodeglobo"/>
    <w:uiPriority w:val="99"/>
    <w:semiHidden/>
    <w:rsid w:val="2A172791"/>
    <w:rPr>
      <w:rFonts w:ascii="Tahoma" w:hAnsi="Tahoma" w:cs="Tahoma"/>
      <w:sz w:val="16"/>
      <w:szCs w:val="16"/>
    </w:rPr>
  </w:style>
  <w:style w:type="character" w:styleId="Textoennegrita">
    <w:name w:val="Strong"/>
    <w:uiPriority w:val="22"/>
    <w:qFormat/>
    <w:rsid w:val="2A172791"/>
    <w:rPr>
      <w:b/>
      <w:bCs/>
    </w:rPr>
  </w:style>
  <w:style w:type="character" w:styleId="relative" w:customStyle="1">
    <w:name w:val="relative"/>
    <w:uiPriority w:val="1"/>
    <w:rsid w:val="2A172791"/>
  </w:style>
  <w:style w:type="paragraph" w:styleId="not-prose" w:customStyle="1">
    <w:name w:val="not-prose"/>
    <w:basedOn w:val="Normal"/>
    <w:rsid w:val="000D5EDE"/>
    <w:pPr>
      <w:widowControl/>
      <w:spacing w:before="100" w:beforeAutospacing="1" w:after="100" w:afterAutospacing="1"/>
    </w:pPr>
    <w:rPr>
      <w:rFonts w:ascii="Times New Roman" w:hAnsi="Times New Roman" w:eastAsia="Times New Roman" w:cs="Times New Roman"/>
      <w:sz w:val="24"/>
      <w:szCs w:val="24"/>
      <w:lang w:val="es-ES"/>
    </w:rPr>
  </w:style>
  <w:style w:type="character" w:styleId="Hipervnculo">
    <w:name w:val="Hyperlink"/>
    <w:uiPriority w:val="99"/>
    <w:unhideWhenUsed/>
    <w:rsid w:val="2A172791"/>
    <w:rPr>
      <w:color w:val="0000FF"/>
      <w:u w:val="single"/>
    </w:rPr>
  </w:style>
  <w:style w:type="paragraph" w:styleId="isselectedend" w:customStyle="1">
    <w:name w:val="isselectedend"/>
    <w:basedOn w:val="Normal"/>
    <w:rsid w:val="008A6559"/>
    <w:pPr>
      <w:widowControl/>
      <w:spacing w:before="100" w:beforeAutospacing="1" w:after="100" w:afterAutospacing="1"/>
    </w:pPr>
    <w:rPr>
      <w:rFonts w:ascii="Times New Roman" w:hAnsi="Times New Roman" w:eastAsia="Times New Roman" w:cs="Times New Roman"/>
      <w:sz w:val="24"/>
      <w:szCs w:val="24"/>
      <w:lang w:val="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es" w:eastAsia="es-E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Normal0"/>
    <w:tblPr>
      <w:tblCellMar>
        <w:top w:w="100" w:type="dxa"/>
        <w:left w:w="100" w:type="dxa"/>
        <w:bottom w:w="100" w:type="dxa"/>
        <w:right w:w="100" w:type="dxa"/>
      </w:tblCellMar>
    </w:tblPr>
  </w:style>
  <w:style w:type="table" w:customStyle="1" w:styleId="TableNormal1">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style>
  <w:style w:type="paragraph" w:customStyle="1" w:styleId="TableParagraph">
    <w:name w:val="Table Paragraph"/>
    <w:basedOn w:val="Normal"/>
    <w:uiPriority w:val="1"/>
    <w:qFormat/>
    <w:pPr>
      <w:spacing w:line="272" w:lineRule="exact"/>
      <w:ind w:left="107"/>
    </w:pPr>
  </w:style>
  <w:style w:type="paragraph" w:styleId="Encabezado">
    <w:name w:val="header"/>
    <w:basedOn w:val="Normal"/>
    <w:link w:val="EncabezadoCar"/>
    <w:uiPriority w:val="99"/>
    <w:unhideWhenUsed/>
    <w:rsid w:val="00145CFF"/>
    <w:pPr>
      <w:tabs>
        <w:tab w:val="center" w:pos="4419"/>
        <w:tab w:val="right" w:pos="8838"/>
      </w:tabs>
    </w:pPr>
  </w:style>
  <w:style w:type="character" w:customStyle="1" w:styleId="EncabezadoCar">
    <w:name w:val="Encabezado Car"/>
    <w:link w:val="Encabezado"/>
    <w:uiPriority w:val="99"/>
    <w:rsid w:val="2A172791"/>
    <w:rPr>
      <w:lang w:val="es-ES"/>
    </w:rPr>
  </w:style>
  <w:style w:type="paragraph" w:styleId="Piedepgina">
    <w:name w:val="footer"/>
    <w:basedOn w:val="Normal"/>
    <w:link w:val="PiedepginaCar"/>
    <w:uiPriority w:val="99"/>
    <w:unhideWhenUsed/>
    <w:rsid w:val="00145CFF"/>
    <w:pPr>
      <w:tabs>
        <w:tab w:val="center" w:pos="4419"/>
        <w:tab w:val="right" w:pos="8838"/>
      </w:tabs>
    </w:pPr>
  </w:style>
  <w:style w:type="character" w:customStyle="1" w:styleId="PiedepginaCar">
    <w:name w:val="Pie de página Car"/>
    <w:link w:val="Piedepgina"/>
    <w:uiPriority w:val="99"/>
    <w:rsid w:val="2A172791"/>
    <w:rPr>
      <w:lang w:val="es-ES"/>
    </w:rPr>
  </w:style>
  <w:style w:type="character" w:customStyle="1" w:styleId="selectable-text">
    <w:name w:val="selectable-text"/>
    <w:uiPriority w:val="1"/>
    <w:rsid w:val="2A172791"/>
  </w:style>
  <w:style w:type="paragraph" w:styleId="Sinespaciado">
    <w:name w:val="No Spacing"/>
    <w:link w:val="SinespaciadoCar"/>
    <w:uiPriority w:val="1"/>
    <w:qFormat/>
    <w:rsid w:val="002D551D"/>
    <w:pPr>
      <w:widowControl/>
      <w:spacing w:after="160" w:line="480" w:lineRule="auto"/>
    </w:pPr>
    <w:rPr>
      <w:rFonts w:eastAsiaTheme="minorEastAsia"/>
      <w:lang w:val="es-CO"/>
    </w:rPr>
  </w:style>
  <w:style w:type="character" w:customStyle="1" w:styleId="SinespaciadoCar">
    <w:name w:val="Sin espaciado Car"/>
    <w:link w:val="Sinespaciado"/>
    <w:uiPriority w:val="1"/>
    <w:rsid w:val="2A172791"/>
    <w:rPr>
      <w:rFonts w:eastAsiaTheme="minorEastAsia"/>
      <w:lang w:val="es-CO" w:eastAsia="es-CO"/>
    </w:rPr>
  </w:style>
  <w:style w:type="paragraph" w:styleId="NormalWeb">
    <w:name w:val="Normal (Web)"/>
    <w:basedOn w:val="Normal"/>
    <w:uiPriority w:val="99"/>
    <w:semiHidden/>
    <w:unhideWhenUsed/>
    <w:rsid w:val="002D551D"/>
    <w:pPr>
      <w:widowControl/>
      <w:spacing w:before="100" w:beforeAutospacing="1" w:after="100" w:afterAutospacing="1"/>
    </w:pPr>
    <w:rPr>
      <w:rFonts w:ascii="Times New Roman" w:eastAsia="Times New Roman" w:hAnsi="Times New Roman" w:cs="Times New Roman"/>
      <w:sz w:val="24"/>
      <w:szCs w:val="24"/>
      <w:lang w:val="es-CO"/>
    </w:rPr>
  </w:style>
  <w:style w:type="table" w:customStyle="1" w:styleId="a">
    <w:basedOn w:val="TableNormal1"/>
    <w:tblPr>
      <w:tblStyleRowBandSize w:val="1"/>
      <w:tblStyleColBandSize w:val="1"/>
      <w:tblInd w:w="0" w:type="dxa"/>
      <w:tblCellMar>
        <w:top w:w="0" w:type="dxa"/>
        <w:left w:w="0" w:type="dxa"/>
        <w:bottom w:w="0" w:type="dxa"/>
        <w:right w:w="0" w:type="dxa"/>
      </w:tblCellMar>
    </w:tbl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0">
    <w:basedOn w:val="TableNormal0"/>
    <w:tblPr>
      <w:tblStyleRowBandSize w:val="1"/>
      <w:tblStyleColBandSize w:val="1"/>
      <w:tblCellMar>
        <w:top w:w="0" w:type="dxa"/>
        <w:left w:w="0" w:type="dxa"/>
        <w:bottom w:w="0" w:type="dxa"/>
        <w:right w:w="0" w:type="dxa"/>
      </w:tblCellMar>
    </w:tblPr>
  </w:style>
  <w:style w:type="paragraph" w:styleId="Textodeglobo">
    <w:name w:val="Balloon Text"/>
    <w:basedOn w:val="Normal"/>
    <w:link w:val="TextodegloboCar"/>
    <w:uiPriority w:val="99"/>
    <w:semiHidden/>
    <w:unhideWhenUsed/>
    <w:rsid w:val="00692FDD"/>
    <w:rPr>
      <w:rFonts w:ascii="Tahoma" w:hAnsi="Tahoma" w:cs="Tahoma"/>
      <w:sz w:val="16"/>
      <w:szCs w:val="16"/>
    </w:rPr>
  </w:style>
  <w:style w:type="character" w:customStyle="1" w:styleId="TextodegloboCar">
    <w:name w:val="Texto de globo Car"/>
    <w:link w:val="Textodeglobo"/>
    <w:uiPriority w:val="99"/>
    <w:semiHidden/>
    <w:rsid w:val="2A172791"/>
    <w:rPr>
      <w:rFonts w:ascii="Tahoma" w:hAnsi="Tahoma" w:cs="Tahoma"/>
      <w:sz w:val="16"/>
      <w:szCs w:val="16"/>
    </w:rPr>
  </w:style>
  <w:style w:type="character" w:styleId="Textoennegrita">
    <w:name w:val="Strong"/>
    <w:uiPriority w:val="22"/>
    <w:qFormat/>
    <w:rsid w:val="2A172791"/>
    <w:rPr>
      <w:b/>
      <w:bCs/>
    </w:rPr>
  </w:style>
  <w:style w:type="character" w:customStyle="1" w:styleId="relative">
    <w:name w:val="relative"/>
    <w:uiPriority w:val="1"/>
    <w:rsid w:val="2A172791"/>
  </w:style>
  <w:style w:type="paragraph" w:customStyle="1" w:styleId="not-prose">
    <w:name w:val="not-prose"/>
    <w:basedOn w:val="Normal"/>
    <w:rsid w:val="000D5EDE"/>
    <w:pPr>
      <w:widowControl/>
      <w:spacing w:before="100" w:beforeAutospacing="1" w:after="100" w:afterAutospacing="1"/>
    </w:pPr>
    <w:rPr>
      <w:rFonts w:ascii="Times New Roman" w:eastAsia="Times New Roman" w:hAnsi="Times New Roman" w:cs="Times New Roman"/>
      <w:sz w:val="24"/>
      <w:szCs w:val="24"/>
      <w:lang w:val="es-ES"/>
    </w:rPr>
  </w:style>
  <w:style w:type="character" w:styleId="Hipervnculo">
    <w:name w:val="Hyperlink"/>
    <w:uiPriority w:val="99"/>
    <w:unhideWhenUsed/>
    <w:rsid w:val="2A172791"/>
    <w:rPr>
      <w:color w:val="0000FF"/>
      <w:u w:val="single"/>
    </w:rPr>
  </w:style>
  <w:style w:type="paragraph" w:customStyle="1" w:styleId="isselectedend">
    <w:name w:val="isselectedend"/>
    <w:basedOn w:val="Normal"/>
    <w:rsid w:val="008A6559"/>
    <w:pPr>
      <w:widowControl/>
      <w:spacing w:before="100" w:beforeAutospacing="1" w:after="100" w:afterAutospacing="1"/>
    </w:pPr>
    <w:rPr>
      <w:rFonts w:ascii="Times New Roman" w:eastAsia="Times New Roman" w:hAnsi="Times New Roman" w:cs="Times New Roman"/>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2707251">
      <w:bodyDiv w:val="1"/>
      <w:marLeft w:val="0"/>
      <w:marRight w:val="0"/>
      <w:marTop w:val="0"/>
      <w:marBottom w:val="0"/>
      <w:divBdr>
        <w:top w:val="none" w:sz="0" w:space="0" w:color="auto"/>
        <w:left w:val="none" w:sz="0" w:space="0" w:color="auto"/>
        <w:bottom w:val="none" w:sz="0" w:space="0" w:color="auto"/>
        <w:right w:val="none" w:sz="0" w:space="0" w:color="auto"/>
      </w:divBdr>
    </w:div>
    <w:div w:id="566645976">
      <w:bodyDiv w:val="1"/>
      <w:marLeft w:val="0"/>
      <w:marRight w:val="0"/>
      <w:marTop w:val="0"/>
      <w:marBottom w:val="0"/>
      <w:divBdr>
        <w:top w:val="none" w:sz="0" w:space="0" w:color="auto"/>
        <w:left w:val="none" w:sz="0" w:space="0" w:color="auto"/>
        <w:bottom w:val="none" w:sz="0" w:space="0" w:color="auto"/>
        <w:right w:val="none" w:sz="0" w:space="0" w:color="auto"/>
      </w:divBdr>
    </w:div>
    <w:div w:id="894704734">
      <w:bodyDiv w:val="1"/>
      <w:marLeft w:val="0"/>
      <w:marRight w:val="0"/>
      <w:marTop w:val="0"/>
      <w:marBottom w:val="0"/>
      <w:divBdr>
        <w:top w:val="none" w:sz="0" w:space="0" w:color="auto"/>
        <w:left w:val="none" w:sz="0" w:space="0" w:color="auto"/>
        <w:bottom w:val="none" w:sz="0" w:space="0" w:color="auto"/>
        <w:right w:val="none" w:sz="0" w:space="0" w:color="auto"/>
      </w:divBdr>
    </w:div>
    <w:div w:id="1230533047">
      <w:bodyDiv w:val="1"/>
      <w:marLeft w:val="0"/>
      <w:marRight w:val="0"/>
      <w:marTop w:val="0"/>
      <w:marBottom w:val="0"/>
      <w:divBdr>
        <w:top w:val="none" w:sz="0" w:space="0" w:color="auto"/>
        <w:left w:val="none" w:sz="0" w:space="0" w:color="auto"/>
        <w:bottom w:val="none" w:sz="0" w:space="0" w:color="auto"/>
        <w:right w:val="none" w:sz="0" w:space="0" w:color="auto"/>
      </w:divBdr>
      <w:divsChild>
        <w:div w:id="328214819">
          <w:marLeft w:val="0"/>
          <w:marRight w:val="0"/>
          <w:marTop w:val="0"/>
          <w:marBottom w:val="0"/>
          <w:divBdr>
            <w:top w:val="none" w:sz="0" w:space="0" w:color="auto"/>
            <w:left w:val="none" w:sz="0" w:space="0" w:color="auto"/>
            <w:bottom w:val="none" w:sz="0" w:space="0" w:color="auto"/>
            <w:right w:val="none" w:sz="0" w:space="0" w:color="auto"/>
          </w:divBdr>
          <w:divsChild>
            <w:div w:id="961961277">
              <w:marLeft w:val="0"/>
              <w:marRight w:val="0"/>
              <w:marTop w:val="0"/>
              <w:marBottom w:val="0"/>
              <w:divBdr>
                <w:top w:val="none" w:sz="0" w:space="0" w:color="auto"/>
                <w:left w:val="none" w:sz="0" w:space="0" w:color="auto"/>
                <w:bottom w:val="none" w:sz="0" w:space="0" w:color="auto"/>
                <w:right w:val="none" w:sz="0" w:space="0" w:color="auto"/>
              </w:divBdr>
              <w:divsChild>
                <w:div w:id="1840848676">
                  <w:marLeft w:val="0"/>
                  <w:marRight w:val="0"/>
                  <w:marTop w:val="0"/>
                  <w:marBottom w:val="0"/>
                  <w:divBdr>
                    <w:top w:val="none" w:sz="0" w:space="0" w:color="auto"/>
                    <w:left w:val="none" w:sz="0" w:space="0" w:color="auto"/>
                    <w:bottom w:val="none" w:sz="0" w:space="0" w:color="auto"/>
                    <w:right w:val="none" w:sz="0" w:space="0" w:color="auto"/>
                  </w:divBdr>
                  <w:divsChild>
                    <w:div w:id="611279995">
                      <w:marLeft w:val="0"/>
                      <w:marRight w:val="0"/>
                      <w:marTop w:val="0"/>
                      <w:marBottom w:val="0"/>
                      <w:divBdr>
                        <w:top w:val="none" w:sz="0" w:space="0" w:color="auto"/>
                        <w:left w:val="none" w:sz="0" w:space="0" w:color="auto"/>
                        <w:bottom w:val="none" w:sz="0" w:space="0" w:color="auto"/>
                        <w:right w:val="none" w:sz="0" w:space="0" w:color="auto"/>
                      </w:divBdr>
                      <w:divsChild>
                        <w:div w:id="1617639018">
                          <w:marLeft w:val="0"/>
                          <w:marRight w:val="0"/>
                          <w:marTop w:val="0"/>
                          <w:marBottom w:val="0"/>
                          <w:divBdr>
                            <w:top w:val="none" w:sz="0" w:space="0" w:color="auto"/>
                            <w:left w:val="none" w:sz="0" w:space="0" w:color="auto"/>
                            <w:bottom w:val="none" w:sz="0" w:space="0" w:color="auto"/>
                            <w:right w:val="none" w:sz="0" w:space="0" w:color="auto"/>
                          </w:divBdr>
                          <w:divsChild>
                            <w:div w:id="1016426563">
                              <w:marLeft w:val="0"/>
                              <w:marRight w:val="0"/>
                              <w:marTop w:val="0"/>
                              <w:marBottom w:val="0"/>
                              <w:divBdr>
                                <w:top w:val="none" w:sz="0" w:space="0" w:color="auto"/>
                                <w:left w:val="none" w:sz="0" w:space="0" w:color="auto"/>
                                <w:bottom w:val="none" w:sz="0" w:space="0" w:color="auto"/>
                                <w:right w:val="none" w:sz="0" w:space="0" w:color="auto"/>
                              </w:divBdr>
                              <w:divsChild>
                                <w:div w:id="1038118744">
                                  <w:marLeft w:val="0"/>
                                  <w:marRight w:val="0"/>
                                  <w:marTop w:val="0"/>
                                  <w:marBottom w:val="0"/>
                                  <w:divBdr>
                                    <w:top w:val="none" w:sz="0" w:space="0" w:color="auto"/>
                                    <w:left w:val="none" w:sz="0" w:space="0" w:color="auto"/>
                                    <w:bottom w:val="none" w:sz="0" w:space="0" w:color="auto"/>
                                    <w:right w:val="none" w:sz="0" w:space="0" w:color="auto"/>
                                  </w:divBdr>
                                  <w:divsChild>
                                    <w:div w:id="1986615587">
                                      <w:marLeft w:val="0"/>
                                      <w:marRight w:val="0"/>
                                      <w:marTop w:val="0"/>
                                      <w:marBottom w:val="0"/>
                                      <w:divBdr>
                                        <w:top w:val="none" w:sz="0" w:space="0" w:color="auto"/>
                                        <w:left w:val="none" w:sz="0" w:space="0" w:color="auto"/>
                                        <w:bottom w:val="none" w:sz="0" w:space="0" w:color="auto"/>
                                        <w:right w:val="none" w:sz="0" w:space="0" w:color="auto"/>
                                      </w:divBdr>
                                      <w:divsChild>
                                        <w:div w:id="26870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webSettings>
</file>

<file path=word/_rels/document.xml.rels>&#65279;<?xml version="1.0" encoding="utf-8"?><Relationships xmlns="http://schemas.openxmlformats.org/package/2006/relationships"><Relationship Type="http://schemas.openxmlformats.org/officeDocument/2006/relationships/endnotes" Target="endnotes.xml" Id="rId8" /><Relationship Type="http://schemas.openxmlformats.org/officeDocument/2006/relationships/theme" Target="theme/theme1.xml" Id="rId13" /><Relationship Type="http://schemas.openxmlformats.org/officeDocument/2006/relationships/styles" Target="styles.xml" Id="rId3" /><Relationship Type="http://schemas.openxmlformats.org/officeDocument/2006/relationships/footnotes" Target="footnotes.xml" Id="rId7" /><Relationship Type="http://schemas.openxmlformats.org/officeDocument/2006/relationships/fontTable" Target="fontTable.xml" Id="rId12"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footer" Target="footer1.xml" Id="rId11" /><Relationship Type="http://schemas.openxmlformats.org/officeDocument/2006/relationships/settings" Target="settings.xml" Id="rId5" /><Relationship Type="http://schemas.openxmlformats.org/officeDocument/2006/relationships/header" Target="header1.xml" Id="rId10" /><Relationship Type="http://schemas.microsoft.com/office/2007/relationships/stylesWithEffects" Target="stylesWithEffects.xml" Id="rId4" /><Relationship Type="http://schemas.openxmlformats.org/officeDocument/2006/relationships/hyperlink" Target="https://sena4-my.sharepoint.com/:f:/r/personal/jfperezv_sena_edu_co/Documents/1_Proyecto_Habitat_2026/6_Seg_Individual_Equipo/12.C_ECONOMICO/Cesar%20Augusto%20Piedrahita%20Ampudia/5_Junio/GC_14624306_35626_JUN_2026/Evidencias%20JUN/Obligacion%203/Evidencias%20Obligacion_3/Evidencia%20actividad%201?csf=1&amp;web=1&amp;e=RP5OcB" TargetMode="External" Id="R4907f260322c43e8"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ZdenIMd6i53G+pl5Z1CFEdt9HQ==">CgMxLjA4AHIhMWhqRGFHZVB3UEZzbExvdHJySzdrdTdOcnhOYVRZQkhi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Leonardo Cantor</dc:creator>
  <lastModifiedBy>Cesar Augusto Piedrahita Ampudia</lastModifiedBy>
  <revision>16</revision>
  <dcterms:created xsi:type="dcterms:W3CDTF">2026-03-13T23:41:00.0000000Z</dcterms:created>
  <dcterms:modified xsi:type="dcterms:W3CDTF">2026-06-10T23:25:01.6136574Z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2022-08-10T00:00:00Z</vt:filetime>
  </property>
  <property fmtid="{D5CDD505-2E9C-101B-9397-08002B2CF9AE}" pid="3" name="Creator">
    <vt:lpwstr>Microsoft® Word para Microsoft 365</vt:lpwstr>
  </property>
  <property fmtid="{D5CDD505-2E9C-101B-9397-08002B2CF9AE}" pid="4" name="LastSaved">
    <vt:filetime>2022-08-12T00:00:00Z</vt:filetime>
  </property>
  <property fmtid="{D5CDD505-2E9C-101B-9397-08002B2CF9AE}" pid="5" name="Producer">
    <vt:lpwstr>Microsoft® Word para Microsoft 365</vt:lpwstr>
  </property>
  <property fmtid="{D5CDD505-2E9C-101B-9397-08002B2CF9AE}" pid="6" name="MSIP_Label_fc111285-cafa-4fc9-8a9a-bd902089b24f_Enabled">
    <vt:lpwstr>true</vt:lpwstr>
  </property>
  <property fmtid="{D5CDD505-2E9C-101B-9397-08002B2CF9AE}" pid="7" name="MSIP_Label_fc111285-cafa-4fc9-8a9a-bd902089b24f_SetDate">
    <vt:lpwstr>2025-02-13T14:37:36Z</vt:lpwstr>
  </property>
  <property fmtid="{D5CDD505-2E9C-101B-9397-08002B2CF9AE}" pid="8" name="MSIP_Label_fc111285-cafa-4fc9-8a9a-bd902089b24f_Method">
    <vt:lpwstr>Privileged</vt:lpwstr>
  </property>
  <property fmtid="{D5CDD505-2E9C-101B-9397-08002B2CF9AE}" pid="9" name="MSIP_Label_fc111285-cafa-4fc9-8a9a-bd902089b24f_Name">
    <vt:lpwstr>Public</vt:lpwstr>
  </property>
  <property fmtid="{D5CDD505-2E9C-101B-9397-08002B2CF9AE}" pid="10" name="MSIP_Label_fc111285-cafa-4fc9-8a9a-bd902089b24f_SiteId">
    <vt:lpwstr>cbc2c381-2f2e-4d93-91d1-506c9316ace7</vt:lpwstr>
  </property>
  <property fmtid="{D5CDD505-2E9C-101B-9397-08002B2CF9AE}" pid="11" name="MSIP_Label_fc111285-cafa-4fc9-8a9a-bd902089b24f_ActionId">
    <vt:lpwstr>caea95da-0c41-47b1-a569-c8274534c3ea</vt:lpwstr>
  </property>
  <property fmtid="{D5CDD505-2E9C-101B-9397-08002B2CF9AE}" pid="12" name="MSIP_Label_fc111285-cafa-4fc9-8a9a-bd902089b24f_ContentBits">
    <vt:lpwstr>0</vt:lpwstr>
  </property>
  <property fmtid="{D5CDD505-2E9C-101B-9397-08002B2CF9AE}" pid="13" name="MSIP_Label_fc111285-cafa-4fc9-8a9a-bd902089b24f_Tag">
    <vt:lpwstr>10, 0, 1, 1</vt:lpwstr>
  </property>
  <property fmtid="{D5CDD505-2E9C-101B-9397-08002B2CF9AE}" pid="14" name="GrammarlyDocumentId">
    <vt:lpwstr>e9bd85a1-fed4-45ed-99b1-6160993be31c</vt:lpwstr>
  </property>
</Properties>
</file>